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440"/>
        <w:jc w:val="center"/>
      </w:pPr>
      <w:r>
        <w:rPr>
          <w:rFonts w:ascii="Arial" w:cs="Arial" w:eastAsia="Arial" w:hAnsi="Arial"/>
          <w:b/>
          <w:bCs/>
          <w:color w:val="1B3A6B"/>
          <w:sz w:val="56"/>
          <w:szCs w:val="56"/>
        </w:rPr>
        <w:t xml:space="preserve">MEDICAL BILLING</w:t>
      </w:r>
    </w:p>
    <w:p>
      <w:pPr>
        <w:spacing w:after="80" w:before="0"/>
        <w:jc w:val="center"/>
      </w:pPr>
      <w:r>
        <w:rPr>
          <w:rFonts w:ascii="Arial" w:cs="Arial" w:eastAsia="Arial" w:hAnsi="Arial"/>
          <w:b/>
          <w:bCs/>
          <w:color w:val="2563EB"/>
          <w:sz w:val="48"/>
          <w:szCs w:val="48"/>
        </w:rPr>
        <w:t xml:space="preserve">POLICY &amp; PROCEDURE MANUAL</w:t>
      </w:r>
    </w:p>
    <w:p>
      <w:pPr>
        <w:spacing w:after="80" w:before="240"/>
        <w:jc w:val="center"/>
      </w:pPr>
      <w:r>
        <w:rPr>
          <w:rFonts w:ascii="Arial" w:cs="Arial" w:eastAsia="Arial" w:hAnsi="Arial"/>
          <w:color w:val="CBD5E1"/>
          <w:sz w:val="24"/>
          <w:szCs w:val="24"/>
        </w:rPr>
        <w:t xml:space="preserve">━━━━━━━━━━━━━━━━━━━━━━━━━━━━━━━━━</w:t>
      </w:r>
    </w:p>
    <w:p>
      <w:pPr>
        <w:spacing w:after="80" w:before="160"/>
        <w:jc w:val="center"/>
      </w:pPr>
      <w:r>
        <w:rPr>
          <w:rFonts w:ascii="Arial" w:cs="Arial" w:eastAsia="Arial" w:hAnsi="Arial"/>
          <w:i/>
          <w:iCs/>
          <w:color w:val="475569"/>
          <w:sz w:val="26"/>
          <w:szCs w:val="26"/>
        </w:rPr>
        <w:t xml:space="preserve">Your Complete Guide to Billing Right — Every Time</w:t>
      </w:r>
    </w:p>
    <w:p>
      <w:pPr>
        <w:spacing w:after="0" w:before="480"/>
      </w:pPr>
      <w:r>
        <w:t xml:space="preserve"/>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tblGrid>
      <w:tr>
        <w:tc>
          <w:tcPr>
            <w:tcW w:type="dxa" w:w="3000"/>
            <w:tcBorders>
              <w:top w:val="single" w:color="CBD5E1" w:sz="1"/>
              <w:left w:val="single" w:color="CBD5E1" w:sz="1"/>
              <w:bottom w:val="single" w:color="CBD5E1" w:sz="1"/>
              <w:right w:val="single" w:color="CBD5E1" w:sz="1"/>
            </w:tcBorders>
            <w:shd w:fill="DBEAFE" w:val="clear"/>
            <w:tcMar>
              <w:top w:type="dxa" w:w="80"/>
              <w:left w:type="dxa" w:w="120"/>
              <w:bottom w:type="dxa" w:w="80"/>
              <w:right w:type="dxa" w:w="120"/>
            </w:tcMar>
          </w:tcPr>
          <w:p>
            <w:r>
              <w:rPr>
                <w:rFonts w:ascii="Arial" w:cs="Arial" w:eastAsia="Arial" w:hAnsi="Arial"/>
                <w:b/>
                <w:bCs/>
                <w:color w:val="1B3A6B"/>
                <w:sz w:val="18"/>
                <w:szCs w:val="18"/>
              </w:rPr>
              <w:t xml:space="preserve">Organization Name:</w:t>
            </w:r>
          </w:p>
        </w:tc>
        <w:tc>
          <w:tcPr>
            <w:tcW w:type="dxa" w:w="3000"/>
            <w:tcBorders>
              <w:top w:val="single" w:color="CBD5E1" w:sz="1"/>
              <w:left w:val="single" w:color="CBD5E1" w:sz="1"/>
              <w:bottom w:val="single" w:color="CBD5E1" w:sz="1"/>
              <w:right w:val="single" w:color="CBD5E1" w:sz="1"/>
            </w:tcBorders>
            <w:shd w:fill="DBEAFE" w:val="clear"/>
            <w:tcMar>
              <w:top w:type="dxa" w:w="80"/>
              <w:left w:type="dxa" w:w="120"/>
              <w:bottom w:type="dxa" w:w="80"/>
              <w:right w:type="dxa" w:w="120"/>
            </w:tcMar>
          </w:tcPr>
          <w:p>
            <w:r>
              <w:rPr>
                <w:rFonts w:ascii="Arial" w:cs="Arial" w:eastAsia="Arial" w:hAnsi="Arial"/>
                <w:color w:val="1E293B"/>
                <w:sz w:val="18"/>
                <w:szCs w:val="18"/>
              </w:rPr>
              <w:t xml:space="preserve">[Enter Practice Name]</w:t>
            </w:r>
          </w:p>
        </w:tc>
      </w:tr>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bCs/>
                <w:color w:val="1B3A6B"/>
                <w:sz w:val="18"/>
                <w:szCs w:val="18"/>
              </w:rPr>
              <w:t xml:space="preserve">Department:</w:t>
            </w:r>
          </w:p>
        </w:tc>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color w:val="1E293B"/>
                <w:sz w:val="18"/>
                <w:szCs w:val="18"/>
              </w:rPr>
              <w:t xml:space="preserve">Billing &amp; Revenue Cycle</w:t>
            </w:r>
          </w:p>
        </w:tc>
      </w:tr>
      <w:tr>
        <w:tc>
          <w:tcPr>
            <w:tcW w:type="dxa" w:w="3000"/>
            <w:tcBorders>
              <w:top w:val="single" w:color="CBD5E1" w:sz="1"/>
              <w:left w:val="single" w:color="CBD5E1" w:sz="1"/>
              <w:bottom w:val="single" w:color="CBD5E1" w:sz="1"/>
              <w:right w:val="single" w:color="CBD5E1" w:sz="1"/>
            </w:tcBorders>
            <w:shd w:fill="DBEAFE" w:val="clear"/>
            <w:tcMar>
              <w:top w:type="dxa" w:w="80"/>
              <w:left w:type="dxa" w:w="120"/>
              <w:bottom w:type="dxa" w:w="80"/>
              <w:right w:type="dxa" w:w="120"/>
            </w:tcMar>
          </w:tcPr>
          <w:p>
            <w:r>
              <w:rPr>
                <w:rFonts w:ascii="Arial" w:cs="Arial" w:eastAsia="Arial" w:hAnsi="Arial"/>
                <w:b/>
                <w:bCs/>
                <w:color w:val="1B3A6B"/>
                <w:sz w:val="18"/>
                <w:szCs w:val="18"/>
              </w:rPr>
              <w:t xml:space="preserve">Manual Version:</w:t>
            </w:r>
          </w:p>
        </w:tc>
        <w:tc>
          <w:tcPr>
            <w:tcW w:type="dxa" w:w="3000"/>
            <w:tcBorders>
              <w:top w:val="single" w:color="CBD5E1" w:sz="1"/>
              <w:left w:val="single" w:color="CBD5E1" w:sz="1"/>
              <w:bottom w:val="single" w:color="CBD5E1" w:sz="1"/>
              <w:right w:val="single" w:color="CBD5E1" w:sz="1"/>
            </w:tcBorders>
            <w:shd w:fill="DBEAFE" w:val="clear"/>
            <w:tcMar>
              <w:top w:type="dxa" w:w="80"/>
              <w:left w:type="dxa" w:w="120"/>
              <w:bottom w:type="dxa" w:w="80"/>
              <w:right w:type="dxa" w:w="120"/>
            </w:tcMar>
          </w:tcPr>
          <w:p>
            <w:r>
              <w:rPr>
                <w:rFonts w:ascii="Arial" w:cs="Arial" w:eastAsia="Arial" w:hAnsi="Arial"/>
                <w:color w:val="1E293B"/>
                <w:sz w:val="18"/>
                <w:szCs w:val="18"/>
              </w:rPr>
              <w:t xml:space="preserve">Version 1.0</w:t>
            </w:r>
          </w:p>
        </w:tc>
      </w:tr>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bCs/>
                <w:color w:val="1B3A6B"/>
                <w:sz w:val="18"/>
                <w:szCs w:val="18"/>
              </w:rPr>
              <w:t xml:space="preserve">Effective Date:</w:t>
            </w:r>
          </w:p>
        </w:tc>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color w:val="1E293B"/>
                <w:sz w:val="18"/>
                <w:szCs w:val="18"/>
              </w:rPr>
              <w:t xml:space="preserve">[Enter Date]</w:t>
            </w:r>
          </w:p>
        </w:tc>
      </w:tr>
      <w:tr>
        <w:tc>
          <w:tcPr>
            <w:tcW w:type="dxa" w:w="3000"/>
            <w:tcBorders>
              <w:top w:val="single" w:color="CBD5E1" w:sz="1"/>
              <w:left w:val="single" w:color="CBD5E1" w:sz="1"/>
              <w:bottom w:val="single" w:color="CBD5E1" w:sz="1"/>
              <w:right w:val="single" w:color="CBD5E1" w:sz="1"/>
            </w:tcBorders>
            <w:shd w:fill="DBEAFE" w:val="clear"/>
            <w:tcMar>
              <w:top w:type="dxa" w:w="80"/>
              <w:left w:type="dxa" w:w="120"/>
              <w:bottom w:type="dxa" w:w="80"/>
              <w:right w:type="dxa" w:w="120"/>
            </w:tcMar>
          </w:tcPr>
          <w:p>
            <w:r>
              <w:rPr>
                <w:rFonts w:ascii="Arial" w:cs="Arial" w:eastAsia="Arial" w:hAnsi="Arial"/>
                <w:b/>
                <w:bCs/>
                <w:color w:val="1B3A6B"/>
                <w:sz w:val="18"/>
                <w:szCs w:val="18"/>
              </w:rPr>
              <w:t xml:space="preserve">Last Reviewed:</w:t>
            </w:r>
          </w:p>
        </w:tc>
        <w:tc>
          <w:tcPr>
            <w:tcW w:type="dxa" w:w="3000"/>
            <w:tcBorders>
              <w:top w:val="single" w:color="CBD5E1" w:sz="1"/>
              <w:left w:val="single" w:color="CBD5E1" w:sz="1"/>
              <w:bottom w:val="single" w:color="CBD5E1" w:sz="1"/>
              <w:right w:val="single" w:color="CBD5E1" w:sz="1"/>
            </w:tcBorders>
            <w:shd w:fill="DBEAFE" w:val="clear"/>
            <w:tcMar>
              <w:top w:type="dxa" w:w="80"/>
              <w:left w:type="dxa" w:w="120"/>
              <w:bottom w:type="dxa" w:w="80"/>
              <w:right w:type="dxa" w:w="120"/>
            </w:tcMar>
          </w:tcPr>
          <w:p>
            <w:r>
              <w:rPr>
                <w:rFonts w:ascii="Arial" w:cs="Arial" w:eastAsia="Arial" w:hAnsi="Arial"/>
                <w:color w:val="1E293B"/>
                <w:sz w:val="18"/>
                <w:szCs w:val="18"/>
              </w:rPr>
              <w:t xml:space="preserve">[Enter Date]</w:t>
            </w:r>
          </w:p>
        </w:tc>
      </w:tr>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bCs/>
                <w:color w:val="1B3A6B"/>
                <w:sz w:val="18"/>
                <w:szCs w:val="18"/>
              </w:rPr>
              <w:t xml:space="preserve">Approved By:</w:t>
            </w:r>
          </w:p>
        </w:tc>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color w:val="1E293B"/>
                <w:sz w:val="18"/>
                <w:szCs w:val="18"/>
              </w:rPr>
              <w:t xml:space="preserve">[Billing Director / Practice Manager]</w:t>
            </w:r>
          </w:p>
        </w:tc>
      </w:tr>
    </w:tbl>
    <w:p>
      <w:pPr>
        <w:spacing w:after="0" w:before="480"/>
      </w:pPr>
      <w:r>
        <w:t xml:space="preserve"/>
      </w:r>
    </w:p>
    <w:p>
      <w:pPr>
        <w:jc w:val="center"/>
      </w:pPr>
      <w:r>
        <w:rPr>
          <w:rFonts w:ascii="Arial" w:cs="Arial" w:eastAsia="Arial" w:hAnsi="Arial"/>
          <w:b/>
          <w:bCs/>
          <w:color w:val="EA580C"/>
          <w:sz w:val="18"/>
          <w:szCs w:val="18"/>
        </w:rPr>
        <w:t xml:space="preserve">CONFIDENTIAL — FOR INTERNAL USE ONLY</w:t>
      </w:r>
    </w:p>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Introduction</w:t>
      </w:r>
    </w:p>
    <w:p>
      <w:pPr>
        <w:spacing w:after="100" w:before="60"/>
        <w:jc w:val="both"/>
      </w:pPr>
      <w:r>
        <w:rPr>
          <w:rFonts w:ascii="Arial" w:cs="Arial" w:eastAsia="Arial" w:hAnsi="Arial"/>
          <w:color w:val="1E293B"/>
          <w:sz w:val="20"/>
          <w:szCs w:val="20"/>
        </w:rPr>
        <w:t xml:space="preserve">This manual tells every member of the billing team exactly how to do their job correctly. It covers everything from the moment a patient calls to schedule a visit, all the way through collecting the final payment. When everyone follows the same steps, claims go out clean, payments come in faster, and patients get fair and clear bills.</w:t>
      </w:r>
    </w:p>
    <w:p>
      <w:pPr>
        <w:spacing w:after="0" w:before="80"/>
      </w:pPr>
      <w:r>
        <w:t xml:space="preserve"/>
      </w:r>
    </w:p>
    <w:p>
      <w:pPr>
        <w:spacing w:after="100" w:before="60"/>
        <w:jc w:val="both"/>
      </w:pPr>
      <w:r>
        <w:rPr>
          <w:rFonts w:ascii="Arial" w:cs="Arial" w:eastAsia="Arial" w:hAnsi="Arial"/>
          <w:color w:val="1E293B"/>
          <w:sz w:val="20"/>
          <w:szCs w:val="20"/>
        </w:rPr>
        <w:t xml:space="preserve">This manual uses plain, simple language on purpose. You do not need years of experience to understand it. If you are new to billing, start from the beginning. If you are experienced, use this as a reference whenever you have a question.</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563EB" w:sz="6"/>
              <w:left w:val="single" w:color="2563EB" w:sz="6"/>
              <w:bottom w:val="none"/>
              <w:right w:val="none"/>
            </w:tcBorders>
            <w:shd w:fill="DBEAFE" w:val="clear"/>
            <w:tcMar>
              <w:top w:type="dxa" w:w="120"/>
              <w:left w:type="dxa" w:w="160"/>
              <w:bottom w:type="dxa" w:w="120"/>
              <w:right w:type="dxa" w:w="160"/>
            </w:tcMar>
          </w:tcPr>
          <w:p>
            <w:pPr>
              <w:spacing w:after="40"/>
            </w:pPr>
            <w:r>
              <w:rPr>
                <w:rFonts w:ascii="Arial" w:cs="Arial" w:eastAsia="Arial" w:hAnsi="Arial"/>
                <w:b/>
                <w:bCs/>
                <w:color w:val="2563EB"/>
                <w:sz w:val="20"/>
                <w:szCs w:val="20"/>
              </w:rPr>
              <w:t xml:space="preserve">Important:</w:t>
            </w:r>
          </w:p>
          <w:p>
            <w:pPr>
              <w:jc w:val="both"/>
            </w:pPr>
            <w:r>
              <w:rPr>
                <w:rFonts w:ascii="Arial" w:cs="Arial" w:eastAsia="Arial" w:hAnsi="Arial"/>
                <w:color w:val="1E293B"/>
                <w:sz w:val="20"/>
                <w:szCs w:val="20"/>
              </w:rPr>
              <w:t xml:space="preserve">Every employee in the billing department must read this entire manual within their first 30 days. A signed acknowledgment form must be kept on file. This manual must be reviewed and updated at least once per year or whenever major billing rules change.</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Who This Manual Is For</w:t>
      </w:r>
    </w:p>
    <w:p>
      <w:pPr>
        <w:spacing w:after="100" w:before="60"/>
        <w:jc w:val="both"/>
      </w:pPr>
      <w:r>
        <w:rPr>
          <w:rFonts w:ascii="Arial" w:cs="Arial" w:eastAsia="Arial" w:hAnsi="Arial"/>
          <w:color w:val="1E293B"/>
          <w:sz w:val="20"/>
          <w:szCs w:val="20"/>
        </w:rPr>
        <w:t xml:space="preserve">This manual applies to all staff who touch the billing process, including:</w:t>
      </w:r>
    </w:p>
    <w:p>
      <w:pPr>
        <w:pStyle w:val="ListParagraph"/>
        <w:numPr>
          <w:ilvl w:val="0"/>
          <w:numId w:val="2"/>
        </w:numPr>
        <w:spacing w:after="40" w:before="40"/>
      </w:pPr>
      <w:r>
        <w:rPr>
          <w:rFonts w:ascii="Arial" w:cs="Arial" w:eastAsia="Arial" w:hAnsi="Arial"/>
          <w:color w:val="1E293B"/>
          <w:sz w:val="20"/>
          <w:szCs w:val="20"/>
        </w:rPr>
        <w:t xml:space="preserve">Front desk staff who collect patient information and verify insurance</w:t>
      </w:r>
    </w:p>
    <w:p>
      <w:pPr>
        <w:pStyle w:val="ListParagraph"/>
        <w:numPr>
          <w:ilvl w:val="0"/>
          <w:numId w:val="2"/>
        </w:numPr>
        <w:spacing w:after="40" w:before="40"/>
      </w:pPr>
      <w:r>
        <w:rPr>
          <w:rFonts w:ascii="Arial" w:cs="Arial" w:eastAsia="Arial" w:hAnsi="Arial"/>
          <w:color w:val="1E293B"/>
          <w:sz w:val="20"/>
          <w:szCs w:val="20"/>
        </w:rPr>
        <w:t xml:space="preserve">Medical coders who assign diagnosis and procedure codes</w:t>
      </w:r>
    </w:p>
    <w:p>
      <w:pPr>
        <w:pStyle w:val="ListParagraph"/>
        <w:numPr>
          <w:ilvl w:val="0"/>
          <w:numId w:val="2"/>
        </w:numPr>
        <w:spacing w:after="40" w:before="40"/>
      </w:pPr>
      <w:r>
        <w:rPr>
          <w:rFonts w:ascii="Arial" w:cs="Arial" w:eastAsia="Arial" w:hAnsi="Arial"/>
          <w:color w:val="1E293B"/>
          <w:sz w:val="20"/>
          <w:szCs w:val="20"/>
        </w:rPr>
        <w:t xml:space="preserve">Billing specialists who submit claims and post payments</w:t>
      </w:r>
    </w:p>
    <w:p>
      <w:pPr>
        <w:pStyle w:val="ListParagraph"/>
        <w:numPr>
          <w:ilvl w:val="0"/>
          <w:numId w:val="2"/>
        </w:numPr>
        <w:spacing w:after="40" w:before="40"/>
      </w:pPr>
      <w:r>
        <w:rPr>
          <w:rFonts w:ascii="Arial" w:cs="Arial" w:eastAsia="Arial" w:hAnsi="Arial"/>
          <w:color w:val="1E293B"/>
          <w:sz w:val="20"/>
          <w:szCs w:val="20"/>
        </w:rPr>
        <w:t xml:space="preserve">Accounts receivable (A/R) staff who follow up on unpaid claims</w:t>
      </w:r>
    </w:p>
    <w:p>
      <w:pPr>
        <w:pStyle w:val="ListParagraph"/>
        <w:numPr>
          <w:ilvl w:val="0"/>
          <w:numId w:val="2"/>
        </w:numPr>
        <w:spacing w:after="40" w:before="40"/>
      </w:pPr>
      <w:r>
        <w:rPr>
          <w:rFonts w:ascii="Arial" w:cs="Arial" w:eastAsia="Arial" w:hAnsi="Arial"/>
          <w:color w:val="1E293B"/>
          <w:sz w:val="20"/>
          <w:szCs w:val="20"/>
        </w:rPr>
        <w:t xml:space="preserve">Billing managers and supervisors who oversee the team</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How This Manual Is Organized</w:t>
      </w:r>
    </w:p>
    <w:p>
      <w:pPr>
        <w:spacing w:after="100" w:before="60"/>
        <w:jc w:val="both"/>
      </w:pPr>
      <w:r>
        <w:rPr>
          <w:rFonts w:ascii="Arial" w:cs="Arial" w:eastAsia="Arial" w:hAnsi="Arial"/>
          <w:color w:val="1E293B"/>
          <w:sz w:val="20"/>
          <w:szCs w:val="20"/>
        </w:rPr>
        <w:t xml:space="preserve">This manual is divided into ten policy sections. Each section explains a different part of the billing process. Read them in order the first time, then use the table of contents to find specific policies later.</w:t>
      </w:r>
    </w:p>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1 — Patient Registration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BP-001</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Patient Registration Requirements</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Front Desk Supervisor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make sure every patient's information is collected completely and correctly at the time of scheduling or check-in. Wrong patient information is the number one cause of claim denials. A denied claim means delayed payment and extra work for everyone.</w:t>
      </w:r>
    </w:p>
    <w:p>
      <w:pPr>
        <w:pStyle w:val="Heading2"/>
        <w:spacing w:after="80" w:before="240"/>
      </w:pPr>
      <w:r>
        <w:rPr>
          <w:rFonts w:ascii="Arial" w:cs="Arial" w:eastAsia="Arial" w:hAnsi="Arial"/>
          <w:b/>
          <w:bCs/>
          <w:color w:val="0F766E"/>
          <w:sz w:val="26"/>
          <w:szCs w:val="26"/>
        </w:rPr>
        <w:t xml:space="preserve">Policy Statement</w:t>
      </w:r>
    </w:p>
    <w:p>
      <w:pPr>
        <w:spacing w:after="100" w:before="60"/>
        <w:jc w:val="both"/>
      </w:pPr>
      <w:r>
        <w:rPr>
          <w:rFonts w:ascii="Arial" w:cs="Arial" w:eastAsia="Arial" w:hAnsi="Arial"/>
          <w:color w:val="1E293B"/>
          <w:sz w:val="20"/>
          <w:szCs w:val="20"/>
        </w:rPr>
        <w:t xml:space="preserve">All patient demographic and insurance information must be collected, verified, and entered into the system before any service is provided. No patient should be seen without at least basic registration information on file.</w:t>
      </w:r>
    </w:p>
    <w:p>
      <w:pPr>
        <w:pStyle w:val="Heading2"/>
        <w:spacing w:after="80" w:before="240"/>
      </w:pPr>
      <w:r>
        <w:rPr>
          <w:rFonts w:ascii="Arial" w:cs="Arial" w:eastAsia="Arial" w:hAnsi="Arial"/>
          <w:b/>
          <w:bCs/>
          <w:color w:val="0F766E"/>
          <w:sz w:val="26"/>
          <w:szCs w:val="26"/>
        </w:rPr>
        <w:t xml:space="preserve">Step-by-Step Procedure</w:t>
      </w:r>
    </w:p>
    <w:p>
      <w:pPr>
        <w:pStyle w:val="ListParagraph"/>
        <w:numPr>
          <w:ilvl w:val="0"/>
          <w:numId w:val="3"/>
        </w:numPr>
        <w:spacing w:after="40" w:before="40"/>
      </w:pPr>
      <w:r>
        <w:rPr>
          <w:rFonts w:ascii="Arial" w:cs="Arial" w:eastAsia="Arial" w:hAnsi="Arial"/>
          <w:color w:val="1E293B"/>
          <w:sz w:val="20"/>
          <w:szCs w:val="20"/>
        </w:rPr>
        <w:t xml:space="preserve">When a new patient calls or arrives, collect their full legal name (exactly as on their ID), date of birth, gender, home address, and phone number.</w:t>
      </w:r>
    </w:p>
    <w:p>
      <w:pPr>
        <w:pStyle w:val="ListParagraph"/>
        <w:numPr>
          <w:ilvl w:val="0"/>
          <w:numId w:val="3"/>
        </w:numPr>
        <w:spacing w:after="40" w:before="40"/>
      </w:pPr>
      <w:r>
        <w:rPr>
          <w:rFonts w:ascii="Arial" w:cs="Arial" w:eastAsia="Arial" w:hAnsi="Arial"/>
          <w:color w:val="1E293B"/>
          <w:sz w:val="20"/>
          <w:szCs w:val="20"/>
        </w:rPr>
        <w:t xml:space="preserve">Ask for a photo ID and insurance card. Make a copy of both and attach them to the patient's file.</w:t>
      </w:r>
    </w:p>
    <w:p>
      <w:pPr>
        <w:pStyle w:val="ListParagraph"/>
        <w:numPr>
          <w:ilvl w:val="0"/>
          <w:numId w:val="3"/>
        </w:numPr>
        <w:spacing w:after="40" w:before="40"/>
      </w:pPr>
      <w:r>
        <w:rPr>
          <w:rFonts w:ascii="Arial" w:cs="Arial" w:eastAsia="Arial" w:hAnsi="Arial"/>
          <w:color w:val="1E293B"/>
          <w:sz w:val="20"/>
          <w:szCs w:val="20"/>
        </w:rPr>
        <w:t xml:space="preserve">Enter all information into the practice management system immediately. Do not write it on paper and enter it later.</w:t>
      </w:r>
    </w:p>
    <w:p>
      <w:pPr>
        <w:pStyle w:val="ListParagraph"/>
        <w:numPr>
          <w:ilvl w:val="0"/>
          <w:numId w:val="3"/>
        </w:numPr>
        <w:spacing w:after="40" w:before="40"/>
      </w:pPr>
      <w:r>
        <w:rPr>
          <w:rFonts w:ascii="Arial" w:cs="Arial" w:eastAsia="Arial" w:hAnsi="Arial"/>
          <w:color w:val="1E293B"/>
          <w:sz w:val="20"/>
          <w:szCs w:val="20"/>
        </w:rPr>
        <w:t xml:space="preserve">For returning patients, verify that all information is still current at every visit — address, insurance, and phone number can change.</w:t>
      </w:r>
    </w:p>
    <w:p>
      <w:pPr>
        <w:pStyle w:val="ListParagraph"/>
        <w:numPr>
          <w:ilvl w:val="0"/>
          <w:numId w:val="3"/>
        </w:numPr>
        <w:spacing w:after="40" w:before="40"/>
      </w:pPr>
      <w:r>
        <w:rPr>
          <w:rFonts w:ascii="Arial" w:cs="Arial" w:eastAsia="Arial" w:hAnsi="Arial"/>
          <w:color w:val="1E293B"/>
          <w:sz w:val="20"/>
          <w:szCs w:val="20"/>
        </w:rPr>
        <w:t xml:space="preserve">If any information is missing, do not guess. Ask the patient or call the insurance company to get the correct details.</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A580C" w:sz="6"/>
              <w:left w:val="single" w:color="EA580C" w:sz="6"/>
              <w:bottom w:val="none"/>
              <w:right w:val="none"/>
            </w:tcBorders>
            <w:shd w:fill="FFF7ED" w:val="clear"/>
            <w:tcMar>
              <w:top w:type="dxa" w:w="120"/>
              <w:left w:type="dxa" w:w="160"/>
              <w:bottom w:type="dxa" w:w="120"/>
              <w:right w:type="dxa" w:w="160"/>
            </w:tcMar>
          </w:tcPr>
          <w:p>
            <w:pPr>
              <w:spacing w:after="40"/>
            </w:pPr>
            <w:r>
              <w:rPr>
                <w:rFonts w:ascii="Arial" w:cs="Arial" w:eastAsia="Arial" w:hAnsi="Arial"/>
                <w:b/>
                <w:bCs/>
                <w:color w:val="EA580C"/>
                <w:sz w:val="20"/>
                <w:szCs w:val="20"/>
              </w:rPr>
              <w:t xml:space="preserve">Why This Matters:</w:t>
            </w:r>
          </w:p>
          <w:p>
            <w:pPr>
              <w:jc w:val="both"/>
            </w:pPr>
            <w:r>
              <w:rPr>
                <w:rFonts w:ascii="Arial" w:cs="Arial" w:eastAsia="Arial" w:hAnsi="Arial"/>
                <w:color w:val="1E293B"/>
                <w:sz w:val="20"/>
                <w:szCs w:val="20"/>
              </w:rPr>
              <w:t xml:space="preserve">If the patient's name is spelled wrong or their date of birth is incorrect on the claim, the insurance company will reject it automatically. This means the claim must be corrected and resubmitted, adding days or weeks to the payment timeline.</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What Information Is Required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Field</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Requirement</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Legal Full Name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Must match the name on the insurance card exactly</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Date of Birth</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Required for all claims — must be accurate</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Gender</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Required by most insurance companies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Home Address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Used for mailing statements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Phone Number</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At least one — mobile preferred</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Social Security Number (SSN)</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Required for Medicare; optional for others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Emergency Contact</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Name and phone number of someone to contact if needed</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Primary Insurance</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Name, member ID, group number, and subscriber information</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Secondary Insurance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If applicable — collect the same details as primary</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2 — Insurance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BP-002</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Insurance Eligibility and Benefits Verification</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Front Desk Supervisor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confirm that a patient's insurance is active and covers the services they need before the visit takes place. Verifying insurance in advance prevents surprise denials after the service has already been provided.</w:t>
      </w:r>
    </w:p>
    <w:p>
      <w:pPr>
        <w:pStyle w:val="Heading2"/>
        <w:spacing w:after="80" w:before="240"/>
      </w:pPr>
      <w:r>
        <w:rPr>
          <w:rFonts w:ascii="Arial" w:cs="Arial" w:eastAsia="Arial" w:hAnsi="Arial"/>
          <w:b/>
          <w:bCs/>
          <w:color w:val="0F766E"/>
          <w:sz w:val="26"/>
          <w:szCs w:val="26"/>
        </w:rPr>
        <w:t xml:space="preserve">Policy Statement</w:t>
      </w:r>
    </w:p>
    <w:p>
      <w:pPr>
        <w:spacing w:after="100" w:before="60"/>
        <w:jc w:val="both"/>
      </w:pPr>
      <w:r>
        <w:rPr>
          <w:rFonts w:ascii="Arial" w:cs="Arial" w:eastAsia="Arial" w:hAnsi="Arial"/>
          <w:color w:val="1E293B"/>
          <w:sz w:val="20"/>
          <w:szCs w:val="20"/>
        </w:rPr>
        <w:t xml:space="preserve">Insurance eligibility must be verified for every patient at every visit — even if they were just here last week. Insurance can change at any time. A patient whose insurance was active on Monday may have lost it by Friday.</w:t>
      </w:r>
    </w:p>
    <w:p>
      <w:pPr>
        <w:pStyle w:val="Heading2"/>
        <w:spacing w:after="80" w:before="240"/>
      </w:pPr>
      <w:r>
        <w:rPr>
          <w:rFonts w:ascii="Arial" w:cs="Arial" w:eastAsia="Arial" w:hAnsi="Arial"/>
          <w:b/>
          <w:bCs/>
          <w:color w:val="0F766E"/>
          <w:sz w:val="26"/>
          <w:szCs w:val="26"/>
        </w:rPr>
        <w:t xml:space="preserve">When to Verify</w:t>
      </w:r>
    </w:p>
    <w:p>
      <w:pPr>
        <w:pStyle w:val="ListParagraph"/>
        <w:numPr>
          <w:ilvl w:val="0"/>
          <w:numId w:val="2"/>
        </w:numPr>
        <w:spacing w:after="40" w:before="40"/>
      </w:pPr>
      <w:r>
        <w:rPr>
          <w:rFonts w:ascii="Arial" w:cs="Arial" w:eastAsia="Arial" w:hAnsi="Arial"/>
          <w:color w:val="1E293B"/>
          <w:sz w:val="20"/>
          <w:szCs w:val="20"/>
        </w:rPr>
        <w:t xml:space="preserve">New patients: verify before the appointment is confirmed</w:t>
      </w:r>
    </w:p>
    <w:p>
      <w:pPr>
        <w:pStyle w:val="ListParagraph"/>
        <w:numPr>
          <w:ilvl w:val="0"/>
          <w:numId w:val="2"/>
        </w:numPr>
        <w:spacing w:after="40" w:before="40"/>
      </w:pPr>
      <w:r>
        <w:rPr>
          <w:rFonts w:ascii="Arial" w:cs="Arial" w:eastAsia="Arial" w:hAnsi="Arial"/>
          <w:color w:val="1E293B"/>
          <w:sz w:val="20"/>
          <w:szCs w:val="20"/>
        </w:rPr>
        <w:t xml:space="preserve">Returning patients: verify at least 24 to 48 hours before the appointment</w:t>
      </w:r>
    </w:p>
    <w:p>
      <w:pPr>
        <w:pStyle w:val="ListParagraph"/>
        <w:numPr>
          <w:ilvl w:val="0"/>
          <w:numId w:val="2"/>
        </w:numPr>
        <w:spacing w:after="40" w:before="40"/>
      </w:pPr>
      <w:r>
        <w:rPr>
          <w:rFonts w:ascii="Arial" w:cs="Arial" w:eastAsia="Arial" w:hAnsi="Arial"/>
          <w:color w:val="1E293B"/>
          <w:sz w:val="20"/>
          <w:szCs w:val="20"/>
        </w:rPr>
        <w:t xml:space="preserve">Emergency or walk-in visits: verify as soon as possible after the patient arrives</w:t>
      </w:r>
    </w:p>
    <w:p>
      <w:pPr>
        <w:pStyle w:val="ListParagraph"/>
        <w:numPr>
          <w:ilvl w:val="0"/>
          <w:numId w:val="2"/>
        </w:numPr>
        <w:spacing w:after="40" w:before="40"/>
      </w:pPr>
      <w:r>
        <w:rPr>
          <w:rFonts w:ascii="Arial" w:cs="Arial" w:eastAsia="Arial" w:hAnsi="Arial"/>
          <w:color w:val="1E293B"/>
          <w:sz w:val="20"/>
          <w:szCs w:val="20"/>
        </w:rPr>
        <w:t xml:space="preserve">Any time a patient reports a change in insurance</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How to Verify Insurance</w:t>
      </w:r>
    </w:p>
    <w:p>
      <w:pPr>
        <w:pStyle w:val="ListParagraph"/>
        <w:numPr>
          <w:ilvl w:val="0"/>
          <w:numId w:val="3"/>
        </w:numPr>
        <w:spacing w:after="40" w:before="40"/>
      </w:pPr>
      <w:r>
        <w:rPr>
          <w:rFonts w:ascii="Arial" w:cs="Arial" w:eastAsia="Arial" w:hAnsi="Arial"/>
          <w:color w:val="1E293B"/>
          <w:sz w:val="20"/>
          <w:szCs w:val="20"/>
        </w:rPr>
        <w:t xml:space="preserve">Use the insurance company's online provider portal if one is available — this is the fastest method.</w:t>
      </w:r>
    </w:p>
    <w:p>
      <w:pPr>
        <w:pStyle w:val="ListParagraph"/>
        <w:numPr>
          <w:ilvl w:val="0"/>
          <w:numId w:val="3"/>
        </w:numPr>
        <w:spacing w:after="40" w:before="40"/>
      </w:pPr>
      <w:r>
        <w:rPr>
          <w:rFonts w:ascii="Arial" w:cs="Arial" w:eastAsia="Arial" w:hAnsi="Arial"/>
          <w:color w:val="1E293B"/>
          <w:sz w:val="20"/>
          <w:szCs w:val="20"/>
        </w:rPr>
        <w:t xml:space="preserve">If no portal is available, call the Provider Services line on the back of the insurance card. Do NOT call the member services number — that is for patients, not providers.</w:t>
      </w:r>
    </w:p>
    <w:p>
      <w:pPr>
        <w:pStyle w:val="ListParagraph"/>
        <w:numPr>
          <w:ilvl w:val="0"/>
          <w:numId w:val="3"/>
        </w:numPr>
        <w:spacing w:after="40" w:before="40"/>
      </w:pPr>
      <w:r>
        <w:rPr>
          <w:rFonts w:ascii="Arial" w:cs="Arial" w:eastAsia="Arial" w:hAnsi="Arial"/>
          <w:color w:val="1E293B"/>
          <w:sz w:val="20"/>
          <w:szCs w:val="20"/>
        </w:rPr>
        <w:t xml:space="preserve">Have the patient's member ID, date of birth, and the date of service ready before you call.</w:t>
      </w:r>
    </w:p>
    <w:p>
      <w:pPr>
        <w:pStyle w:val="ListParagraph"/>
        <w:numPr>
          <w:ilvl w:val="0"/>
          <w:numId w:val="3"/>
        </w:numPr>
        <w:spacing w:after="40" w:before="40"/>
      </w:pPr>
      <w:r>
        <w:rPr>
          <w:rFonts w:ascii="Arial" w:cs="Arial" w:eastAsia="Arial" w:hAnsi="Arial"/>
          <w:color w:val="1E293B"/>
          <w:sz w:val="20"/>
          <w:szCs w:val="20"/>
        </w:rPr>
        <w:t xml:space="preserve">Ask specifically: Is the plan active? What is the deductible and how much has been met? What is the copay? Is a referral or prior authorization needed for today's services?</w:t>
      </w:r>
    </w:p>
    <w:p>
      <w:pPr>
        <w:pStyle w:val="ListParagraph"/>
        <w:numPr>
          <w:ilvl w:val="0"/>
          <w:numId w:val="3"/>
        </w:numPr>
        <w:spacing w:after="40" w:before="40"/>
      </w:pPr>
      <w:r>
        <w:rPr>
          <w:rFonts w:ascii="Arial" w:cs="Arial" w:eastAsia="Arial" w:hAnsi="Arial"/>
          <w:color w:val="1E293B"/>
          <w:sz w:val="20"/>
          <w:szCs w:val="20"/>
        </w:rPr>
        <w:t xml:space="preserve">Write down the reference number from the call. This is your proof that you verified.</w:t>
      </w:r>
    </w:p>
    <w:p>
      <w:pPr>
        <w:pStyle w:val="ListParagraph"/>
        <w:numPr>
          <w:ilvl w:val="0"/>
          <w:numId w:val="3"/>
        </w:numPr>
        <w:spacing w:after="40" w:before="40"/>
      </w:pPr>
      <w:r>
        <w:rPr>
          <w:rFonts w:ascii="Arial" w:cs="Arial" w:eastAsia="Arial" w:hAnsi="Arial"/>
          <w:color w:val="1E293B"/>
          <w:sz w:val="20"/>
          <w:szCs w:val="20"/>
        </w:rPr>
        <w:t xml:space="preserve">Enter all findings into the patient's account before they are seen.</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Prior Authorization — Special Rule</w:t>
      </w:r>
    </w:p>
    <w:p>
      <w:pPr>
        <w:spacing w:after="100" w:before="60"/>
        <w:jc w:val="both"/>
      </w:pPr>
      <w:r>
        <w:rPr>
          <w:rFonts w:ascii="Arial" w:cs="Arial" w:eastAsia="Arial" w:hAnsi="Arial"/>
          <w:color w:val="1E293B"/>
          <w:sz w:val="20"/>
          <w:szCs w:val="20"/>
        </w:rPr>
        <w:t xml:space="preserve">Some services require the insurance company's approval before they can be performed. This is called prior authorization (PA) or pre-authorization. If a PA is required and you do not get it, the insurance company can deny the entire claim — even if the service was medically necessary.</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A580C" w:sz="6"/>
              <w:left w:val="single" w:color="EA580C" w:sz="6"/>
              <w:bottom w:val="none"/>
              <w:right w:val="none"/>
            </w:tcBorders>
            <w:shd w:fill="FFF7ED" w:val="clear"/>
            <w:tcMar>
              <w:top w:type="dxa" w:w="120"/>
              <w:left w:type="dxa" w:w="160"/>
              <w:bottom w:type="dxa" w:w="120"/>
              <w:right w:type="dxa" w:w="160"/>
            </w:tcMar>
          </w:tcPr>
          <w:p>
            <w:pPr>
              <w:spacing w:after="40"/>
            </w:pPr>
            <w:r>
              <w:rPr>
                <w:rFonts w:ascii="Arial" w:cs="Arial" w:eastAsia="Arial" w:hAnsi="Arial"/>
                <w:b/>
                <w:bCs/>
                <w:color w:val="EA580C"/>
                <w:sz w:val="20"/>
                <w:szCs w:val="20"/>
              </w:rPr>
              <w:t xml:space="preserve">Rule:</w:t>
            </w:r>
          </w:p>
          <w:p>
            <w:pPr>
              <w:jc w:val="both"/>
            </w:pPr>
            <w:r>
              <w:rPr>
                <w:rFonts w:ascii="Arial" w:cs="Arial" w:eastAsia="Arial" w:hAnsi="Arial"/>
                <w:color w:val="1E293B"/>
                <w:sz w:val="20"/>
                <w:szCs w:val="20"/>
              </w:rPr>
              <w:t xml:space="preserve">Never schedule a service that requires prior authorization until the authorization number has been received and documented. The authorization number must be entered on every claim for that service.</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Verification Documentation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Item to Document</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Where to Document It</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Insurance company name and phone number used</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notes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Representative name</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notes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Reference / confirmation number</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notes AND claim</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Plan active status and effective date</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Deductible (total and amount met)</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Copay and coinsurance amounts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and patient intake form</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Prior auth number (if applicable)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AND all related claims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Date and time of verification</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notes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Name of staff member who verified</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account notes</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3 — Medical Coding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BP-003</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Accurate Medical Coding Standards</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Coding Supervisor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ensure that every diagnosis and procedure is coded correctly so that claims reflect the actual services provided. Correct coding means the practice gets paid the right amount — not too much and not too little.</w:t>
      </w:r>
    </w:p>
    <w:p>
      <w:pPr>
        <w:pStyle w:val="Heading2"/>
        <w:spacing w:after="80" w:before="240"/>
      </w:pPr>
      <w:r>
        <w:rPr>
          <w:rFonts w:ascii="Arial" w:cs="Arial" w:eastAsia="Arial" w:hAnsi="Arial"/>
          <w:b/>
          <w:bCs/>
          <w:color w:val="0F766E"/>
          <w:sz w:val="26"/>
          <w:szCs w:val="26"/>
        </w:rPr>
        <w:t xml:space="preserve">Policy Statement</w:t>
      </w:r>
    </w:p>
    <w:p>
      <w:pPr>
        <w:spacing w:after="100" w:before="60"/>
        <w:jc w:val="both"/>
      </w:pPr>
      <w:r>
        <w:rPr>
          <w:rFonts w:ascii="Arial" w:cs="Arial" w:eastAsia="Arial" w:hAnsi="Arial"/>
          <w:color w:val="1E293B"/>
          <w:sz w:val="20"/>
          <w:szCs w:val="20"/>
        </w:rPr>
        <w:t xml:space="preserve">All coding must be done by staff with appropriate training or credentials. Codes must be supported by the documentation in the medical record. No code may be assigned that is not clearly supported by the physician's notes.</w:t>
      </w:r>
    </w:p>
    <w:p>
      <w:pPr>
        <w:pStyle w:val="Heading2"/>
        <w:spacing w:after="80" w:before="240"/>
      </w:pPr>
      <w:r>
        <w:rPr>
          <w:rFonts w:ascii="Arial" w:cs="Arial" w:eastAsia="Arial" w:hAnsi="Arial"/>
          <w:b/>
          <w:bCs/>
          <w:color w:val="0F766E"/>
          <w:sz w:val="26"/>
          <w:szCs w:val="26"/>
        </w:rPr>
        <w:t xml:space="preserve">Coding Basics — What Every Coder Must Know</w:t>
      </w:r>
    </w:p>
    <w:p>
      <w:pPr>
        <w:pStyle w:val="ListParagraph"/>
        <w:numPr>
          <w:ilvl w:val="0"/>
          <w:numId w:val="2"/>
        </w:numPr>
        <w:spacing w:after="40" w:before="40"/>
      </w:pPr>
      <w:r>
        <w:rPr>
          <w:rFonts w:ascii="Arial" w:cs="Arial" w:eastAsia="Arial" w:hAnsi="Arial"/>
          <w:color w:val="1E293B"/>
          <w:sz w:val="20"/>
          <w:szCs w:val="20"/>
        </w:rPr>
        <w:t xml:space="preserve">ICD-10-CM codes: These describe what was wrong with the patient (the diagnosis). Example: E11.9 means Type 2 diabetes without complications.</w:t>
      </w:r>
    </w:p>
    <w:p>
      <w:pPr>
        <w:pStyle w:val="ListParagraph"/>
        <w:numPr>
          <w:ilvl w:val="0"/>
          <w:numId w:val="2"/>
        </w:numPr>
        <w:spacing w:after="40" w:before="40"/>
      </w:pPr>
      <w:r>
        <w:rPr>
          <w:rFonts w:ascii="Arial" w:cs="Arial" w:eastAsia="Arial" w:hAnsi="Arial"/>
          <w:color w:val="1E293B"/>
          <w:sz w:val="20"/>
          <w:szCs w:val="20"/>
        </w:rPr>
        <w:t xml:space="preserve">CPT codes: These describe what the provider did (the procedure or service). Example: 99213 means an established patient office visit of moderate complexity.</w:t>
      </w:r>
    </w:p>
    <w:p>
      <w:pPr>
        <w:pStyle w:val="ListParagraph"/>
        <w:numPr>
          <w:ilvl w:val="0"/>
          <w:numId w:val="2"/>
        </w:numPr>
        <w:spacing w:after="40" w:before="40"/>
      </w:pPr>
      <w:r>
        <w:rPr>
          <w:rFonts w:ascii="Arial" w:cs="Arial" w:eastAsia="Arial" w:hAnsi="Arial"/>
          <w:color w:val="1E293B"/>
          <w:sz w:val="20"/>
          <w:szCs w:val="20"/>
        </w:rPr>
        <w:t xml:space="preserve">HCPCS Level II codes: These cover supplies, equipment, and some services not in CPT. Example: A6216 means a gauze bandage.</w:t>
      </w:r>
    </w:p>
    <w:p>
      <w:pPr>
        <w:pStyle w:val="ListParagraph"/>
        <w:numPr>
          <w:ilvl w:val="0"/>
          <w:numId w:val="2"/>
        </w:numPr>
        <w:spacing w:after="40" w:before="40"/>
      </w:pPr>
      <w:r>
        <w:rPr>
          <w:rFonts w:ascii="Arial" w:cs="Arial" w:eastAsia="Arial" w:hAnsi="Arial"/>
          <w:color w:val="1E293B"/>
          <w:sz w:val="20"/>
          <w:szCs w:val="20"/>
        </w:rPr>
        <w:t xml:space="preserve">Modifiers: Two-digit codes added to CPT codes to give extra information. Example: Modifier 25 means a separate E/M visit was done on the same day as a procedure.</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The Golden Rules of Coding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000"/>
        <w:gridCol w:w="3360"/>
      </w:tblGrid>
      <w:tr>
        <w:tc>
          <w:tcPr>
            <w:tcW w:type="dxa" w:w="20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Rule</w:t>
            </w:r>
          </w:p>
        </w:tc>
        <w:tc>
          <w:tcPr>
            <w:tcW w:type="dxa" w:w="40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What It Means</w:t>
            </w:r>
          </w:p>
        </w:tc>
        <w:tc>
          <w:tcPr>
            <w:tcW w:type="dxa" w:w="33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Why It Matters</w:t>
            </w:r>
          </w:p>
        </w:tc>
      </w:tr>
      <w:tr>
        <w:tc>
          <w:tcPr>
            <w:tcW w:type="dxa" w:w="2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Code what is documented</w:t>
            </w:r>
          </w:p>
        </w:tc>
        <w:tc>
          <w:tcPr>
            <w:tcW w:type="dxa" w:w="4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Only assign a code if the physician's notes clearly describe that condition or service</w:t>
            </w:r>
          </w:p>
        </w:tc>
        <w:tc>
          <w:tcPr>
            <w:tcW w:type="dxa" w:w="3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Coding something that is not in the record is fraud</w:t>
            </w:r>
          </w:p>
        </w:tc>
      </w:tr>
      <w:tr>
        <w:tc>
          <w:tcPr>
            <w:tcW w:type="dxa" w:w="2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Code to the highest specificity</w:t>
            </w:r>
          </w:p>
        </w:tc>
        <w:tc>
          <w:tcPr>
            <w:tcW w:type="dxa" w:w="4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Use the most detailed code available — never stop at a general code when a more specific one exists</w:t>
            </w:r>
          </w:p>
        </w:tc>
        <w:tc>
          <w:tcPr>
            <w:tcW w:type="dxa" w:w="33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Unspecific codes cause denials and delay payment</w:t>
            </w:r>
          </w:p>
        </w:tc>
      </w:tr>
      <w:tr>
        <w:tc>
          <w:tcPr>
            <w:tcW w:type="dxa" w:w="2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Sequence codes correctly</w:t>
            </w:r>
          </w:p>
        </w:tc>
        <w:tc>
          <w:tcPr>
            <w:tcW w:type="dxa" w:w="4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The primary diagnosis that brought the patient in goes first</w:t>
            </w:r>
          </w:p>
        </w:tc>
        <w:tc>
          <w:tcPr>
            <w:tcW w:type="dxa" w:w="3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Wrong sequence can change how the claim is paid</w:t>
            </w:r>
          </w:p>
        </w:tc>
      </w:tr>
      <w:tr>
        <w:tc>
          <w:tcPr>
            <w:tcW w:type="dxa" w:w="2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Never upcode</w:t>
            </w:r>
          </w:p>
        </w:tc>
        <w:tc>
          <w:tcPr>
            <w:tcW w:type="dxa" w:w="4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Do not bill for a higher-level service than what was actually done</w:t>
            </w:r>
          </w:p>
        </w:tc>
        <w:tc>
          <w:tcPr>
            <w:tcW w:type="dxa" w:w="33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Upcoding is Medicare fraud and carries severe penalties</w:t>
            </w:r>
          </w:p>
        </w:tc>
      </w:tr>
      <w:tr>
        <w:tc>
          <w:tcPr>
            <w:tcW w:type="dxa" w:w="2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Never unbundle</w:t>
            </w:r>
          </w:p>
        </w:tc>
        <w:tc>
          <w:tcPr>
            <w:tcW w:type="dxa" w:w="4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Do not bill separate codes for services that are included in one main code</w:t>
            </w:r>
          </w:p>
        </w:tc>
        <w:tc>
          <w:tcPr>
            <w:tcW w:type="dxa" w:w="3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Unbundling is also considered fraud</w:t>
            </w:r>
          </w:p>
        </w:tc>
      </w:tr>
      <w:tr>
        <w:tc>
          <w:tcPr>
            <w:tcW w:type="dxa" w:w="2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Query before you guess</w:t>
            </w:r>
          </w:p>
        </w:tc>
        <w:tc>
          <w:tcPr>
            <w:tcW w:type="dxa" w:w="4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If the documentation is unclear, send a query to the physician before coding</w:t>
            </w:r>
          </w:p>
        </w:tc>
        <w:tc>
          <w:tcPr>
            <w:tcW w:type="dxa" w:w="33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Guessing leads to errors; queries lead to accuracy</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Coding Timeframes</w:t>
      </w:r>
    </w:p>
    <w:p>
      <w:pPr>
        <w:spacing w:after="100" w:before="60"/>
        <w:jc w:val="both"/>
      </w:pPr>
      <w:r>
        <w:rPr>
          <w:rFonts w:ascii="Arial" w:cs="Arial" w:eastAsia="Arial" w:hAnsi="Arial"/>
          <w:color w:val="1E293B"/>
          <w:sz w:val="20"/>
          <w:szCs w:val="20"/>
        </w:rPr>
        <w:t xml:space="preserve">Charges must be entered within the timeframes listed below. Late charges mean late claims, which can miss filing deadlines and result in zero payment.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Type of Service</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Maximum Time to Code After Service</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Office visits</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24 hours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Outpatient procedures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48 hours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Hospital services</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72 hours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Emergency department visits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24 hours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Any service with prior authorization</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Same day as service</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4 — Claim Submission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BP-004</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Clean Claim Submission Requirements</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Billing Manager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make sure every claim sent to an insurance company is complete, accurate, and submitted on time. A clean claim is one that is accepted and processed without the insurance company needing to ask for more information.</w:t>
      </w:r>
    </w:p>
    <w:p>
      <w:pPr>
        <w:pStyle w:val="Heading2"/>
        <w:spacing w:after="80" w:before="240"/>
      </w:pPr>
      <w:r>
        <w:rPr>
          <w:rFonts w:ascii="Arial" w:cs="Arial" w:eastAsia="Arial" w:hAnsi="Arial"/>
          <w:b/>
          <w:bCs/>
          <w:color w:val="0F766E"/>
          <w:sz w:val="26"/>
          <w:szCs w:val="26"/>
        </w:rPr>
        <w:t xml:space="preserve">What Is a Clean Claim?</w:t>
      </w:r>
    </w:p>
    <w:p>
      <w:pPr>
        <w:spacing w:after="100" w:before="60"/>
        <w:jc w:val="both"/>
      </w:pPr>
      <w:r>
        <w:rPr>
          <w:rFonts w:ascii="Arial" w:cs="Arial" w:eastAsia="Arial" w:hAnsi="Arial"/>
          <w:color w:val="1E293B"/>
          <w:sz w:val="20"/>
          <w:szCs w:val="20"/>
        </w:rPr>
        <w:t xml:space="preserve">A clean claim has all the required information, uses the correct codes, and is submitted before the filing deadline. Most clean claims are paid within 14 to 30 days. A claim that is missing information or has errors may take 60 to 90 days or longer — or may never be paid.</w:t>
      </w:r>
    </w:p>
    <w:p>
      <w:pPr>
        <w:spacing w:after="0" w:before="80"/>
      </w:pPr>
      <w:r>
        <w:t xml:space="preserve"/>
      </w:r>
    </w:p>
    <w:p>
      <w:pPr>
        <w:pStyle w:val="Heading2"/>
        <w:spacing w:after="80" w:before="240"/>
      </w:pPr>
      <w:r>
        <w:rPr>
          <w:rFonts w:ascii="Arial" w:cs="Arial" w:eastAsia="Arial" w:hAnsi="Arial"/>
          <w:b/>
          <w:bCs/>
          <w:color w:val="0F766E"/>
          <w:sz w:val="26"/>
          <w:szCs w:val="26"/>
        </w:rPr>
        <w:t xml:space="preserve">Required Elements on Every Claim</w:t>
      </w:r>
    </w:p>
    <w:p>
      <w:pPr>
        <w:pStyle w:val="ListParagraph"/>
        <w:numPr>
          <w:ilvl w:val="0"/>
          <w:numId w:val="2"/>
        </w:numPr>
        <w:spacing w:after="40" w:before="40"/>
      </w:pPr>
      <w:r>
        <w:rPr>
          <w:rFonts w:ascii="Arial" w:cs="Arial" w:eastAsia="Arial" w:hAnsi="Arial"/>
          <w:color w:val="1E293B"/>
          <w:sz w:val="20"/>
          <w:szCs w:val="20"/>
        </w:rPr>
        <w:t xml:space="preserve">Patient's full name, date of birth, and member ID</w:t>
      </w:r>
    </w:p>
    <w:p>
      <w:pPr>
        <w:pStyle w:val="ListParagraph"/>
        <w:numPr>
          <w:ilvl w:val="0"/>
          <w:numId w:val="2"/>
        </w:numPr>
        <w:spacing w:after="40" w:before="40"/>
      </w:pPr>
      <w:r>
        <w:rPr>
          <w:rFonts w:ascii="Arial" w:cs="Arial" w:eastAsia="Arial" w:hAnsi="Arial"/>
          <w:color w:val="1E293B"/>
          <w:sz w:val="20"/>
          <w:szCs w:val="20"/>
        </w:rPr>
        <w:t xml:space="preserve">Subscriber information (who holds the insurance policy, if different from the patient)</w:t>
      </w:r>
    </w:p>
    <w:p>
      <w:pPr>
        <w:pStyle w:val="ListParagraph"/>
        <w:numPr>
          <w:ilvl w:val="0"/>
          <w:numId w:val="2"/>
        </w:numPr>
        <w:spacing w:after="40" w:before="40"/>
      </w:pPr>
      <w:r>
        <w:rPr>
          <w:rFonts w:ascii="Arial" w:cs="Arial" w:eastAsia="Arial" w:hAnsi="Arial"/>
          <w:color w:val="1E293B"/>
          <w:sz w:val="20"/>
          <w:szCs w:val="20"/>
        </w:rPr>
        <w:t xml:space="preserve">Provider name, NPI number, and address</w:t>
      </w:r>
    </w:p>
    <w:p>
      <w:pPr>
        <w:pStyle w:val="ListParagraph"/>
        <w:numPr>
          <w:ilvl w:val="0"/>
          <w:numId w:val="2"/>
        </w:numPr>
        <w:spacing w:after="40" w:before="40"/>
      </w:pPr>
      <w:r>
        <w:rPr>
          <w:rFonts w:ascii="Arial" w:cs="Arial" w:eastAsia="Arial" w:hAnsi="Arial"/>
          <w:color w:val="1E293B"/>
          <w:sz w:val="20"/>
          <w:szCs w:val="20"/>
        </w:rPr>
        <w:t xml:space="preserve">Date of service</w:t>
      </w:r>
    </w:p>
    <w:p>
      <w:pPr>
        <w:pStyle w:val="ListParagraph"/>
        <w:numPr>
          <w:ilvl w:val="0"/>
          <w:numId w:val="2"/>
        </w:numPr>
        <w:spacing w:after="40" w:before="40"/>
      </w:pPr>
      <w:r>
        <w:rPr>
          <w:rFonts w:ascii="Arial" w:cs="Arial" w:eastAsia="Arial" w:hAnsi="Arial"/>
          <w:color w:val="1E293B"/>
          <w:sz w:val="20"/>
          <w:szCs w:val="20"/>
        </w:rPr>
        <w:t xml:space="preserve">Place of service code</w:t>
      </w:r>
    </w:p>
    <w:p>
      <w:pPr>
        <w:pStyle w:val="ListParagraph"/>
        <w:numPr>
          <w:ilvl w:val="0"/>
          <w:numId w:val="2"/>
        </w:numPr>
        <w:spacing w:after="40" w:before="40"/>
      </w:pPr>
      <w:r>
        <w:rPr>
          <w:rFonts w:ascii="Arial" w:cs="Arial" w:eastAsia="Arial" w:hAnsi="Arial"/>
          <w:color w:val="1E293B"/>
          <w:sz w:val="20"/>
          <w:szCs w:val="20"/>
        </w:rPr>
        <w:t xml:space="preserve">Diagnosis codes (ICD-10-CM) listed in correct order</w:t>
      </w:r>
    </w:p>
    <w:p>
      <w:pPr>
        <w:pStyle w:val="ListParagraph"/>
        <w:numPr>
          <w:ilvl w:val="0"/>
          <w:numId w:val="2"/>
        </w:numPr>
        <w:spacing w:after="40" w:before="40"/>
      </w:pPr>
      <w:r>
        <w:rPr>
          <w:rFonts w:ascii="Arial" w:cs="Arial" w:eastAsia="Arial" w:hAnsi="Arial"/>
          <w:color w:val="1E293B"/>
          <w:sz w:val="20"/>
          <w:szCs w:val="20"/>
        </w:rPr>
        <w:t xml:space="preserve">Procedure codes (CPT or HCPCS) with units and modifiers if needed</w:t>
      </w:r>
    </w:p>
    <w:p>
      <w:pPr>
        <w:pStyle w:val="ListParagraph"/>
        <w:numPr>
          <w:ilvl w:val="0"/>
          <w:numId w:val="2"/>
        </w:numPr>
        <w:spacing w:after="40" w:before="40"/>
      </w:pPr>
      <w:r>
        <w:rPr>
          <w:rFonts w:ascii="Arial" w:cs="Arial" w:eastAsia="Arial" w:hAnsi="Arial"/>
          <w:color w:val="1E293B"/>
          <w:sz w:val="20"/>
          <w:szCs w:val="20"/>
        </w:rPr>
        <w:t xml:space="preserve">Charge amount for each service</w:t>
      </w:r>
    </w:p>
    <w:p>
      <w:pPr>
        <w:pStyle w:val="ListParagraph"/>
        <w:numPr>
          <w:ilvl w:val="0"/>
          <w:numId w:val="2"/>
        </w:numPr>
        <w:spacing w:after="40" w:before="40"/>
      </w:pPr>
      <w:r>
        <w:rPr>
          <w:rFonts w:ascii="Arial" w:cs="Arial" w:eastAsia="Arial" w:hAnsi="Arial"/>
          <w:color w:val="1E293B"/>
          <w:sz w:val="20"/>
          <w:szCs w:val="20"/>
        </w:rPr>
        <w:t xml:space="preserve">Prior authorization number (if required for any service on the claim)</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Filing Deadlines — Know Your Payers</w:t>
      </w:r>
    </w:p>
    <w:p>
      <w:pPr>
        <w:spacing w:after="100" w:before="60"/>
        <w:jc w:val="both"/>
      </w:pPr>
      <w:r>
        <w:rPr>
          <w:rFonts w:ascii="Arial" w:cs="Arial" w:eastAsia="Arial" w:hAnsi="Arial"/>
          <w:color w:val="1E293B"/>
          <w:sz w:val="20"/>
          <w:szCs w:val="20"/>
        </w:rPr>
        <w:t xml:space="preserve">Every insurance company sets its own deadline for receiving claims. Missing the deadline means the claim is denied automatically and usually cannot be appealed based on late filing alone.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Payer / Plan Type</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Typical Filing Deadline</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Medicare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1 year from the date of service</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Medicaid</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Varies by state — usually 90 days to 1 year</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Most commercial insurance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90 days to 1 year from date of service</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Workers Compensation</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Varies — check the specific plan</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No-fault / Auto insurance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Varies — often 30 to 90 days</w:t>
            </w:r>
          </w:p>
        </w:tc>
      </w:tr>
    </w:tbl>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A580C" w:sz="6"/>
              <w:left w:val="single" w:color="EA580C" w:sz="6"/>
              <w:bottom w:val="none"/>
              <w:right w:val="none"/>
            </w:tcBorders>
            <w:shd w:fill="FFF7ED" w:val="clear"/>
            <w:tcMar>
              <w:top w:type="dxa" w:w="120"/>
              <w:left w:type="dxa" w:w="160"/>
              <w:bottom w:type="dxa" w:w="120"/>
              <w:right w:type="dxa" w:w="160"/>
            </w:tcMar>
          </w:tcPr>
          <w:p>
            <w:pPr>
              <w:spacing w:after="40"/>
            </w:pPr>
            <w:r>
              <w:rPr>
                <w:rFonts w:ascii="Arial" w:cs="Arial" w:eastAsia="Arial" w:hAnsi="Arial"/>
                <w:b/>
                <w:bCs/>
                <w:color w:val="EA580C"/>
                <w:sz w:val="20"/>
                <w:szCs w:val="20"/>
              </w:rPr>
              <w:t xml:space="preserve">Warning:</w:t>
            </w:r>
          </w:p>
          <w:p>
            <w:pPr>
              <w:jc w:val="both"/>
            </w:pPr>
            <w:r>
              <w:rPr>
                <w:rFonts w:ascii="Arial" w:cs="Arial" w:eastAsia="Arial" w:hAnsi="Arial"/>
                <w:color w:val="1E293B"/>
                <w:sz w:val="20"/>
                <w:szCs w:val="20"/>
              </w:rPr>
              <w:t xml:space="preserve">Do not rely on memory for filing deadlines. Keep a payer deadline reference chart at your workstation and check it every time you submit a claim for an unfamiliar payer.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Electronic vs. Paper Claims</w:t>
      </w:r>
    </w:p>
    <w:p>
      <w:pPr>
        <w:spacing w:after="100" w:before="60"/>
        <w:jc w:val="both"/>
      </w:pPr>
      <w:r>
        <w:rPr>
          <w:rFonts w:ascii="Arial" w:cs="Arial" w:eastAsia="Arial" w:hAnsi="Arial"/>
          <w:color w:val="1E293B"/>
          <w:sz w:val="20"/>
          <w:szCs w:val="20"/>
        </w:rPr>
        <w:t xml:space="preserve">Electronic claims (EDI) are required for Medicare and most large commercial payers. Paper claims (CMS-1500 for professional services, UB-04 for facility services) are still accepted by some small or specialty payers. Always check the payer's preference.</w:t>
      </w:r>
    </w:p>
    <w:p>
      <w:pPr>
        <w:spacing w:after="100" w:before="60"/>
        <w:jc w:val="both"/>
      </w:pPr>
      <w:r>
        <w:rPr>
          <w:rFonts w:ascii="Arial" w:cs="Arial" w:eastAsia="Arial" w:hAnsi="Arial"/>
          <w:color w:val="1E293B"/>
          <w:sz w:val="20"/>
          <w:szCs w:val="20"/>
        </w:rPr>
        <w:t xml:space="preserve">Electronic claims are processed faster, generate an immediate confirmation, and have a lower rejection rate. Always use electronic submission when possible.</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After Submitting a Claim</w:t>
      </w:r>
    </w:p>
    <w:p>
      <w:pPr>
        <w:pStyle w:val="ListParagraph"/>
        <w:numPr>
          <w:ilvl w:val="0"/>
          <w:numId w:val="3"/>
        </w:numPr>
        <w:spacing w:after="40" w:before="40"/>
      </w:pPr>
      <w:r>
        <w:rPr>
          <w:rFonts w:ascii="Arial" w:cs="Arial" w:eastAsia="Arial" w:hAnsi="Arial"/>
          <w:color w:val="1E293B"/>
          <w:sz w:val="20"/>
          <w:szCs w:val="20"/>
        </w:rPr>
        <w:t xml:space="preserve">Save or print the claim submission confirmation with the transaction number.</w:t>
      </w:r>
    </w:p>
    <w:p>
      <w:pPr>
        <w:pStyle w:val="ListParagraph"/>
        <w:numPr>
          <w:ilvl w:val="0"/>
          <w:numId w:val="3"/>
        </w:numPr>
        <w:spacing w:after="40" w:before="40"/>
      </w:pPr>
      <w:r>
        <w:rPr>
          <w:rFonts w:ascii="Arial" w:cs="Arial" w:eastAsia="Arial" w:hAnsi="Arial"/>
          <w:color w:val="1E293B"/>
          <w:sz w:val="20"/>
          <w:szCs w:val="20"/>
        </w:rPr>
        <w:t xml:space="preserve">Check the clearinghouse report within 24 hours to confirm the claim was accepted — not just sent.</w:t>
      </w:r>
    </w:p>
    <w:p>
      <w:pPr>
        <w:pStyle w:val="ListParagraph"/>
        <w:numPr>
          <w:ilvl w:val="0"/>
          <w:numId w:val="3"/>
        </w:numPr>
        <w:spacing w:after="40" w:before="40"/>
      </w:pPr>
      <w:r>
        <w:rPr>
          <w:rFonts w:ascii="Arial" w:cs="Arial" w:eastAsia="Arial" w:hAnsi="Arial"/>
          <w:color w:val="1E293B"/>
          <w:sz w:val="20"/>
          <w:szCs w:val="20"/>
        </w:rPr>
        <w:t xml:space="preserve">If the claim is rejected by the clearinghouse, fix the error and resubmit the same day.</w:t>
      </w:r>
    </w:p>
    <w:p>
      <w:pPr>
        <w:pStyle w:val="ListParagraph"/>
        <w:numPr>
          <w:ilvl w:val="0"/>
          <w:numId w:val="3"/>
        </w:numPr>
        <w:spacing w:after="40" w:before="40"/>
      </w:pPr>
      <w:r>
        <w:rPr>
          <w:rFonts w:ascii="Arial" w:cs="Arial" w:eastAsia="Arial" w:hAnsi="Arial"/>
          <w:color w:val="1E293B"/>
          <w:sz w:val="20"/>
          <w:szCs w:val="20"/>
        </w:rPr>
        <w:t xml:space="preserve">Enter a follow-up reminder in the system so the claim is reviewed again if no response is received within 30 days.</w:t>
      </w:r>
    </w:p>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5 — Denial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BP-005</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Claim Denial Review and Appeals Process</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A/R Manager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make sure every denied claim is reviewed quickly, corrected when possible, and either resubmitted or appealed within the insurance company's allowed timeframe. Every denied claim represents money that the practice has earned but not yet received.</w:t>
      </w:r>
    </w:p>
    <w:p>
      <w:pPr>
        <w:pStyle w:val="Heading2"/>
        <w:spacing w:after="80" w:before="240"/>
      </w:pPr>
      <w:r>
        <w:rPr>
          <w:rFonts w:ascii="Arial" w:cs="Arial" w:eastAsia="Arial" w:hAnsi="Arial"/>
          <w:b/>
          <w:bCs/>
          <w:color w:val="0F766E"/>
          <w:sz w:val="26"/>
          <w:szCs w:val="26"/>
        </w:rPr>
        <w:t xml:space="preserve">Policy Statement</w:t>
      </w:r>
    </w:p>
    <w:p>
      <w:pPr>
        <w:spacing w:after="100" w:before="60"/>
        <w:jc w:val="both"/>
      </w:pPr>
      <w:r>
        <w:rPr>
          <w:rFonts w:ascii="Arial" w:cs="Arial" w:eastAsia="Arial" w:hAnsi="Arial"/>
          <w:color w:val="1E293B"/>
          <w:sz w:val="20"/>
          <w:szCs w:val="20"/>
        </w:rPr>
        <w:t xml:space="preserve">No denied claim may be written off or ignored without supervisor approval. Every denial must be reviewed within 5 business days of receipt. Denials that can be corrected and resubmitted must be resubmitted within 10 business days.</w:t>
      </w:r>
    </w:p>
    <w:p>
      <w:pPr>
        <w:pStyle w:val="Heading2"/>
        <w:spacing w:after="80" w:before="240"/>
      </w:pPr>
      <w:r>
        <w:rPr>
          <w:rFonts w:ascii="Arial" w:cs="Arial" w:eastAsia="Arial" w:hAnsi="Arial"/>
          <w:b/>
          <w:bCs/>
          <w:color w:val="0F766E"/>
          <w:sz w:val="26"/>
          <w:szCs w:val="26"/>
        </w:rPr>
        <w:t xml:space="preserve">Common Denial Reasons and What to Do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400"/>
        <w:gridCol w:w="3760"/>
      </w:tblGrid>
      <w:tr>
        <w:tc>
          <w:tcPr>
            <w:tcW w:type="dxa" w:w="22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Denial Reason</w:t>
            </w:r>
          </w:p>
        </w:tc>
        <w:tc>
          <w:tcPr>
            <w:tcW w:type="dxa" w:w="34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What It Means</w:t>
            </w:r>
          </w:p>
        </w:tc>
        <w:tc>
          <w:tcPr>
            <w:tcW w:type="dxa" w:w="37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What to Do</w:t>
            </w:r>
          </w:p>
        </w:tc>
      </w:tr>
      <w:tr>
        <w:tc>
          <w:tcPr>
            <w:tcW w:type="dxa" w:w="22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Wrong patient information</w:t>
            </w:r>
          </w:p>
        </w:tc>
        <w:tc>
          <w:tcPr>
            <w:tcW w:type="dxa" w:w="34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Name, DOB, or member ID does not match</w:t>
            </w:r>
          </w:p>
        </w:tc>
        <w:tc>
          <w:tcPr>
            <w:tcW w:type="dxa" w:w="37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Correct the information and resubmit</w:t>
            </w:r>
          </w:p>
        </w:tc>
      </w:tr>
      <w:tr>
        <w:tc>
          <w:tcPr>
            <w:tcW w:type="dxa" w:w="22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Duplicate claim</w:t>
            </w:r>
          </w:p>
        </w:tc>
        <w:tc>
          <w:tcPr>
            <w:tcW w:type="dxa" w:w="34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Same claim already submitted</w:t>
            </w:r>
          </w:p>
        </w:tc>
        <w:tc>
          <w:tcPr>
            <w:tcW w:type="dxa" w:w="37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Confirm and do NOT resubmit — contact payer if paid</w:t>
            </w:r>
          </w:p>
        </w:tc>
      </w:tr>
      <w:tr>
        <w:tc>
          <w:tcPr>
            <w:tcW w:type="dxa" w:w="22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Service not covered</w:t>
            </w:r>
          </w:p>
        </w:tc>
        <w:tc>
          <w:tcPr>
            <w:tcW w:type="dxa" w:w="34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Plan does not include this service</w:t>
            </w:r>
          </w:p>
        </w:tc>
        <w:tc>
          <w:tcPr>
            <w:tcW w:type="dxa" w:w="37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Check plan and bill patient if allowed</w:t>
            </w:r>
          </w:p>
        </w:tc>
      </w:tr>
      <w:tr>
        <w:tc>
          <w:tcPr>
            <w:tcW w:type="dxa" w:w="22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No prior authorization</w:t>
            </w:r>
          </w:p>
        </w:tc>
        <w:tc>
          <w:tcPr>
            <w:tcW w:type="dxa" w:w="34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Insurance needed pre-approval but none was obtained</w:t>
            </w:r>
          </w:p>
        </w:tc>
        <w:tc>
          <w:tcPr>
            <w:tcW w:type="dxa" w:w="37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Request retro-auth or appeal with medical records</w:t>
            </w:r>
          </w:p>
        </w:tc>
      </w:tr>
      <w:tr>
        <w:tc>
          <w:tcPr>
            <w:tcW w:type="dxa" w:w="22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Timely filing exceeded</w:t>
            </w:r>
          </w:p>
        </w:tc>
        <w:tc>
          <w:tcPr>
            <w:tcW w:type="dxa" w:w="34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Claim was submitted too late</w:t>
            </w:r>
          </w:p>
        </w:tc>
        <w:tc>
          <w:tcPr>
            <w:tcW w:type="dxa" w:w="37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Submit proof of timely filing or write off if none</w:t>
            </w:r>
          </w:p>
        </w:tc>
      </w:tr>
      <w:tr>
        <w:tc>
          <w:tcPr>
            <w:tcW w:type="dxa" w:w="22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Missing or invalid modifier</w:t>
            </w:r>
          </w:p>
        </w:tc>
        <w:tc>
          <w:tcPr>
            <w:tcW w:type="dxa" w:w="34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Required modifier is absent or incorrect</w:t>
            </w:r>
          </w:p>
        </w:tc>
        <w:tc>
          <w:tcPr>
            <w:tcW w:type="dxa" w:w="37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Add/correct modifier and resubmit</w:t>
            </w:r>
          </w:p>
        </w:tc>
      </w:tr>
      <w:tr>
        <w:tc>
          <w:tcPr>
            <w:tcW w:type="dxa" w:w="22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Bundling issue</w:t>
            </w:r>
          </w:p>
        </w:tc>
        <w:tc>
          <w:tcPr>
            <w:tcW w:type="dxa" w:w="34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Procedure included in another code you also billed</w:t>
            </w:r>
          </w:p>
        </w:tc>
        <w:tc>
          <w:tcPr>
            <w:tcW w:type="dxa" w:w="37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Remove the bundled code and resubmit</w:t>
            </w:r>
          </w:p>
        </w:tc>
      </w:tr>
      <w:tr>
        <w:tc>
          <w:tcPr>
            <w:tcW w:type="dxa" w:w="22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Non-covered provider</w:t>
            </w:r>
          </w:p>
        </w:tc>
        <w:tc>
          <w:tcPr>
            <w:tcW w:type="dxa" w:w="34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Provider is out-of-network for this patient's plan</w:t>
            </w:r>
          </w:p>
        </w:tc>
        <w:tc>
          <w:tcPr>
            <w:tcW w:type="dxa" w:w="37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Inform patient of their financial responsibility</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How to Write an Appeal</w:t>
      </w:r>
    </w:p>
    <w:p>
      <w:pPr>
        <w:spacing w:after="100" w:before="60"/>
        <w:jc w:val="both"/>
      </w:pPr>
      <w:r>
        <w:rPr>
          <w:rFonts w:ascii="Arial" w:cs="Arial" w:eastAsia="Arial" w:hAnsi="Arial"/>
          <w:color w:val="1E293B"/>
          <w:sz w:val="20"/>
          <w:szCs w:val="20"/>
        </w:rPr>
        <w:t xml:space="preserve">An appeal is a formal request asking the insurance company to reconsider their denial. A well-written appeal is clear, respectful, and supported by evidence.</w:t>
      </w:r>
    </w:p>
    <w:p>
      <w:pPr>
        <w:pStyle w:val="ListParagraph"/>
        <w:numPr>
          <w:ilvl w:val="0"/>
          <w:numId w:val="3"/>
        </w:numPr>
        <w:spacing w:after="40" w:before="40"/>
      </w:pPr>
      <w:r>
        <w:rPr>
          <w:rFonts w:ascii="Arial" w:cs="Arial" w:eastAsia="Arial" w:hAnsi="Arial"/>
          <w:color w:val="1E293B"/>
          <w:sz w:val="20"/>
          <w:szCs w:val="20"/>
        </w:rPr>
        <w:t xml:space="preserve">Write the appeal on your practice's letterhead.</w:t>
      </w:r>
    </w:p>
    <w:p>
      <w:pPr>
        <w:pStyle w:val="ListParagraph"/>
        <w:numPr>
          <w:ilvl w:val="0"/>
          <w:numId w:val="3"/>
        </w:numPr>
        <w:spacing w:after="40" w:before="40"/>
      </w:pPr>
      <w:r>
        <w:rPr>
          <w:rFonts w:ascii="Arial" w:cs="Arial" w:eastAsia="Arial" w:hAnsi="Arial"/>
          <w:color w:val="1E293B"/>
          <w:sz w:val="20"/>
          <w:szCs w:val="20"/>
        </w:rPr>
        <w:t xml:space="preserve">State the patient's name, date of birth, member ID, and the date of service being appealed.</w:t>
      </w:r>
    </w:p>
    <w:p>
      <w:pPr>
        <w:pStyle w:val="ListParagraph"/>
        <w:numPr>
          <w:ilvl w:val="0"/>
          <w:numId w:val="3"/>
        </w:numPr>
        <w:spacing w:after="40" w:before="40"/>
      </w:pPr>
      <w:r>
        <w:rPr>
          <w:rFonts w:ascii="Arial" w:cs="Arial" w:eastAsia="Arial" w:hAnsi="Arial"/>
          <w:color w:val="1E293B"/>
          <w:sz w:val="20"/>
          <w:szCs w:val="20"/>
        </w:rPr>
        <w:t xml:space="preserve">State clearly why you believe the claim should be paid. Use facts, not opinions.</w:t>
      </w:r>
    </w:p>
    <w:p>
      <w:pPr>
        <w:pStyle w:val="ListParagraph"/>
        <w:numPr>
          <w:ilvl w:val="0"/>
          <w:numId w:val="3"/>
        </w:numPr>
        <w:spacing w:after="40" w:before="40"/>
      </w:pPr>
      <w:r>
        <w:rPr>
          <w:rFonts w:ascii="Arial" w:cs="Arial" w:eastAsia="Arial" w:hAnsi="Arial"/>
          <w:color w:val="1E293B"/>
          <w:sz w:val="20"/>
          <w:szCs w:val="20"/>
        </w:rPr>
        <w:t xml:space="preserve">Attach all supporting documents: the medical record, the denial letter, the prior authorization (if any), and any clinical guidelines that support the service.</w:t>
      </w:r>
    </w:p>
    <w:p>
      <w:pPr>
        <w:pStyle w:val="ListParagraph"/>
        <w:numPr>
          <w:ilvl w:val="0"/>
          <w:numId w:val="3"/>
        </w:numPr>
        <w:spacing w:after="40" w:before="40"/>
      </w:pPr>
      <w:r>
        <w:rPr>
          <w:rFonts w:ascii="Arial" w:cs="Arial" w:eastAsia="Arial" w:hAnsi="Arial"/>
          <w:color w:val="1E293B"/>
          <w:sz w:val="20"/>
          <w:szCs w:val="20"/>
        </w:rPr>
        <w:t xml:space="preserve">Submit the appeal before the insurance company's appeal deadline — usually 30 to 180 days from the date of the denial letter.</w:t>
      </w:r>
    </w:p>
    <w:p>
      <w:pPr>
        <w:pStyle w:val="ListParagraph"/>
        <w:numPr>
          <w:ilvl w:val="0"/>
          <w:numId w:val="3"/>
        </w:numPr>
        <w:spacing w:after="40" w:before="40"/>
      </w:pPr>
      <w:r>
        <w:rPr>
          <w:rFonts w:ascii="Arial" w:cs="Arial" w:eastAsia="Arial" w:hAnsi="Arial"/>
          <w:color w:val="1E293B"/>
          <w:sz w:val="20"/>
          <w:szCs w:val="20"/>
        </w:rPr>
        <w:t xml:space="preserve">Keep a copy of everything you send.</w:t>
      </w:r>
    </w:p>
    <w:p>
      <w:pPr>
        <w:pStyle w:val="ListParagraph"/>
        <w:numPr>
          <w:ilvl w:val="0"/>
          <w:numId w:val="3"/>
        </w:numPr>
        <w:spacing w:after="40" w:before="40"/>
      </w:pPr>
      <w:r>
        <w:rPr>
          <w:rFonts w:ascii="Arial" w:cs="Arial" w:eastAsia="Arial" w:hAnsi="Arial"/>
          <w:color w:val="1E293B"/>
          <w:sz w:val="20"/>
          <w:szCs w:val="20"/>
        </w:rPr>
        <w:t xml:space="preserve">Follow up within 30 days if you receive no response.</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F766E" w:sz="6"/>
              <w:left w:val="single" w:color="0F766E" w:sz="6"/>
              <w:bottom w:val="none"/>
              <w:right w:val="none"/>
            </w:tcBorders>
            <w:shd w:fill="CCFBF1" w:val="clear"/>
            <w:tcMar>
              <w:top w:type="dxa" w:w="120"/>
              <w:left w:type="dxa" w:w="160"/>
              <w:bottom w:type="dxa" w:w="120"/>
              <w:right w:type="dxa" w:w="160"/>
            </w:tcMar>
          </w:tcPr>
          <w:p>
            <w:pPr>
              <w:spacing w:after="40"/>
            </w:pPr>
            <w:r>
              <w:rPr>
                <w:rFonts w:ascii="Arial" w:cs="Arial" w:eastAsia="Arial" w:hAnsi="Arial"/>
                <w:b/>
                <w:bCs/>
                <w:color w:val="0F766E"/>
                <w:sz w:val="20"/>
                <w:szCs w:val="20"/>
              </w:rPr>
              <w:t xml:space="preserve">Tip:</w:t>
            </w:r>
          </w:p>
          <w:p>
            <w:pPr>
              <w:jc w:val="both"/>
            </w:pPr>
            <w:r>
              <w:rPr>
                <w:rFonts w:ascii="Arial" w:cs="Arial" w:eastAsia="Arial" w:hAnsi="Arial"/>
                <w:color w:val="1E293B"/>
                <w:sz w:val="20"/>
                <w:szCs w:val="20"/>
              </w:rPr>
              <w:t xml:space="preserve">Track every appeal in the billing system with the date sent, the deadline for a response, and the outcome. If an appeal is denied again, you may have the right to request an external review or file a state insurance complaint.</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6 — Payment Posting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BP-006</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Payment Posting and Reconciliation</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Billing Manager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ensure that all payments from insurance companies and patients are posted accurately and promptly so that account balances are always correct and up to date.</w:t>
      </w:r>
    </w:p>
    <w:p>
      <w:pPr>
        <w:pStyle w:val="Heading2"/>
        <w:spacing w:after="80" w:before="240"/>
      </w:pPr>
      <w:r>
        <w:rPr>
          <w:rFonts w:ascii="Arial" w:cs="Arial" w:eastAsia="Arial" w:hAnsi="Arial"/>
          <w:b/>
          <w:bCs/>
          <w:color w:val="0F766E"/>
          <w:sz w:val="26"/>
          <w:szCs w:val="26"/>
        </w:rPr>
        <w:t xml:space="preserve">Types of Payments</w:t>
      </w:r>
    </w:p>
    <w:p>
      <w:pPr>
        <w:pStyle w:val="ListParagraph"/>
        <w:numPr>
          <w:ilvl w:val="0"/>
          <w:numId w:val="2"/>
        </w:numPr>
        <w:spacing w:after="40" w:before="40"/>
      </w:pPr>
      <w:r>
        <w:rPr>
          <w:rFonts w:ascii="Arial" w:cs="Arial" w:eastAsia="Arial" w:hAnsi="Arial"/>
          <w:color w:val="1E293B"/>
          <w:sz w:val="20"/>
          <w:szCs w:val="20"/>
        </w:rPr>
        <w:t xml:space="preserve">Insurance payments (Electronic Remittance Advice — ERA, or paper check with Explanation of Benefits — EOB)</w:t>
      </w:r>
    </w:p>
    <w:p>
      <w:pPr>
        <w:pStyle w:val="ListParagraph"/>
        <w:numPr>
          <w:ilvl w:val="0"/>
          <w:numId w:val="2"/>
        </w:numPr>
        <w:spacing w:after="40" w:before="40"/>
      </w:pPr>
      <w:r>
        <w:rPr>
          <w:rFonts w:ascii="Arial" w:cs="Arial" w:eastAsia="Arial" w:hAnsi="Arial"/>
          <w:color w:val="1E293B"/>
          <w:sz w:val="20"/>
          <w:szCs w:val="20"/>
        </w:rPr>
        <w:t xml:space="preserve">Patient payments (copays collected at the front desk, mailed checks, online payments)</w:t>
      </w:r>
    </w:p>
    <w:p>
      <w:pPr>
        <w:pStyle w:val="ListParagraph"/>
        <w:numPr>
          <w:ilvl w:val="0"/>
          <w:numId w:val="2"/>
        </w:numPr>
        <w:spacing w:after="40" w:before="40"/>
      </w:pPr>
      <w:r>
        <w:rPr>
          <w:rFonts w:ascii="Arial" w:cs="Arial" w:eastAsia="Arial" w:hAnsi="Arial"/>
          <w:color w:val="1E293B"/>
          <w:sz w:val="20"/>
          <w:szCs w:val="20"/>
        </w:rPr>
        <w:t xml:space="preserve">Secondary insurance payments (after primary has paid)</w:t>
      </w:r>
    </w:p>
    <w:p>
      <w:pPr>
        <w:spacing w:after="0" w:before="80"/>
      </w:pPr>
      <w:r>
        <w:t xml:space="preserve"/>
      </w:r>
    </w:p>
    <w:p>
      <w:pPr>
        <w:pStyle w:val="Heading2"/>
        <w:spacing w:after="80" w:before="240"/>
      </w:pPr>
      <w:r>
        <w:rPr>
          <w:rFonts w:ascii="Arial" w:cs="Arial" w:eastAsia="Arial" w:hAnsi="Arial"/>
          <w:b/>
          <w:bCs/>
          <w:color w:val="0F766E"/>
          <w:sz w:val="26"/>
          <w:szCs w:val="26"/>
        </w:rPr>
        <w:t xml:space="preserve">Step-by-Step Payment Posting</w:t>
      </w:r>
    </w:p>
    <w:p>
      <w:pPr>
        <w:pStyle w:val="ListParagraph"/>
        <w:numPr>
          <w:ilvl w:val="0"/>
          <w:numId w:val="3"/>
        </w:numPr>
        <w:spacing w:after="40" w:before="40"/>
      </w:pPr>
      <w:r>
        <w:rPr>
          <w:rFonts w:ascii="Arial" w:cs="Arial" w:eastAsia="Arial" w:hAnsi="Arial"/>
          <w:color w:val="1E293B"/>
          <w:sz w:val="20"/>
          <w:szCs w:val="20"/>
        </w:rPr>
        <w:t xml:space="preserve">When an ERA or EOB arrives, match it to the corresponding claim in your billing system.</w:t>
      </w:r>
    </w:p>
    <w:p>
      <w:pPr>
        <w:pStyle w:val="ListParagraph"/>
        <w:numPr>
          <w:ilvl w:val="0"/>
          <w:numId w:val="3"/>
        </w:numPr>
        <w:spacing w:after="40" w:before="40"/>
      </w:pPr>
      <w:r>
        <w:rPr>
          <w:rFonts w:ascii="Arial" w:cs="Arial" w:eastAsia="Arial" w:hAnsi="Arial"/>
          <w:color w:val="1E293B"/>
          <w:sz w:val="20"/>
          <w:szCs w:val="20"/>
        </w:rPr>
        <w:t xml:space="preserve">Post the payment amount to the exact date of service on the correct patient account.</w:t>
      </w:r>
    </w:p>
    <w:p>
      <w:pPr>
        <w:pStyle w:val="ListParagraph"/>
        <w:numPr>
          <w:ilvl w:val="0"/>
          <w:numId w:val="3"/>
        </w:numPr>
        <w:spacing w:after="40" w:before="40"/>
      </w:pPr>
      <w:r>
        <w:rPr>
          <w:rFonts w:ascii="Arial" w:cs="Arial" w:eastAsia="Arial" w:hAnsi="Arial"/>
          <w:color w:val="1E293B"/>
          <w:sz w:val="20"/>
          <w:szCs w:val="20"/>
        </w:rPr>
        <w:t xml:space="preserve">Post all contractual adjustments — these are the discounts the insurance company has already subtracted based on your contract with them.</w:t>
      </w:r>
    </w:p>
    <w:p>
      <w:pPr>
        <w:pStyle w:val="ListParagraph"/>
        <w:numPr>
          <w:ilvl w:val="0"/>
          <w:numId w:val="3"/>
        </w:numPr>
        <w:spacing w:after="40" w:before="40"/>
      </w:pPr>
      <w:r>
        <w:rPr>
          <w:rFonts w:ascii="Arial" w:cs="Arial" w:eastAsia="Arial" w:hAnsi="Arial"/>
          <w:color w:val="1E293B"/>
          <w:sz w:val="20"/>
          <w:szCs w:val="20"/>
        </w:rPr>
        <w:t xml:space="preserve">Identify any patient responsibility balance (copay, deductible, coinsurance) and move it to the patient's account for billing.</w:t>
      </w:r>
    </w:p>
    <w:p>
      <w:pPr>
        <w:pStyle w:val="ListParagraph"/>
        <w:numPr>
          <w:ilvl w:val="0"/>
          <w:numId w:val="3"/>
        </w:numPr>
        <w:spacing w:after="40" w:before="40"/>
      </w:pPr>
      <w:r>
        <w:rPr>
          <w:rFonts w:ascii="Arial" w:cs="Arial" w:eastAsia="Arial" w:hAnsi="Arial"/>
          <w:color w:val="1E293B"/>
          <w:sz w:val="20"/>
          <w:szCs w:val="20"/>
        </w:rPr>
        <w:t xml:space="preserve">If a secondary insurance exists, bill the secondary with the primary's EOB attached immediately after posting the primary payment.</w:t>
      </w:r>
    </w:p>
    <w:p>
      <w:pPr>
        <w:pStyle w:val="ListParagraph"/>
        <w:numPr>
          <w:ilvl w:val="0"/>
          <w:numId w:val="3"/>
        </w:numPr>
        <w:spacing w:after="40" w:before="40"/>
      </w:pPr>
      <w:r>
        <w:rPr>
          <w:rFonts w:ascii="Arial" w:cs="Arial" w:eastAsia="Arial" w:hAnsi="Arial"/>
          <w:color w:val="1E293B"/>
          <w:sz w:val="20"/>
          <w:szCs w:val="20"/>
        </w:rPr>
        <w:t xml:space="preserve">Reconcile the total posted amount with the total payment received (check or EFT deposit) at the end of each day.</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What to Do When Payment Is Incorrect</w:t>
      </w:r>
    </w:p>
    <w:p>
      <w:pPr>
        <w:spacing w:after="100" w:before="60"/>
        <w:jc w:val="both"/>
      </w:pPr>
      <w:r>
        <w:rPr>
          <w:rFonts w:ascii="Arial" w:cs="Arial" w:eastAsia="Arial" w:hAnsi="Arial"/>
          <w:color w:val="1E293B"/>
          <w:sz w:val="20"/>
          <w:szCs w:val="20"/>
        </w:rPr>
        <w:t xml:space="preserve">If the insurance company paid less than the contracted rate, do not simply accept the underpayment. Take these steps:</w:t>
      </w:r>
    </w:p>
    <w:p>
      <w:pPr>
        <w:pStyle w:val="ListParagraph"/>
        <w:numPr>
          <w:ilvl w:val="0"/>
          <w:numId w:val="2"/>
        </w:numPr>
        <w:spacing w:after="40" w:before="40"/>
      </w:pPr>
      <w:r>
        <w:rPr>
          <w:rFonts w:ascii="Arial" w:cs="Arial" w:eastAsia="Arial" w:hAnsi="Arial"/>
          <w:color w:val="1E293B"/>
          <w:sz w:val="20"/>
          <w:szCs w:val="20"/>
        </w:rPr>
        <w:t xml:space="preserve">Compare the payment to the contracted allowable amount in your fee schedule.</w:t>
      </w:r>
    </w:p>
    <w:p>
      <w:pPr>
        <w:pStyle w:val="ListParagraph"/>
        <w:numPr>
          <w:ilvl w:val="0"/>
          <w:numId w:val="2"/>
        </w:numPr>
        <w:spacing w:after="40" w:before="40"/>
      </w:pPr>
      <w:r>
        <w:rPr>
          <w:rFonts w:ascii="Arial" w:cs="Arial" w:eastAsia="Arial" w:hAnsi="Arial"/>
          <w:color w:val="1E293B"/>
          <w:sz w:val="20"/>
          <w:szCs w:val="20"/>
        </w:rPr>
        <w:t xml:space="preserve">If underpaid, contact the insurance company to request a payment review or file a recoupment request.</w:t>
      </w:r>
    </w:p>
    <w:p>
      <w:pPr>
        <w:pStyle w:val="ListParagraph"/>
        <w:numPr>
          <w:ilvl w:val="0"/>
          <w:numId w:val="2"/>
        </w:numPr>
        <w:spacing w:after="40" w:before="40"/>
      </w:pPr>
      <w:r>
        <w:rPr>
          <w:rFonts w:ascii="Arial" w:cs="Arial" w:eastAsia="Arial" w:hAnsi="Arial"/>
          <w:color w:val="1E293B"/>
          <w:sz w:val="20"/>
          <w:szCs w:val="20"/>
        </w:rPr>
        <w:t xml:space="preserve">Document the discrepancy and the steps taken in the patient account notes.</w:t>
      </w:r>
    </w:p>
    <w:p>
      <w:pPr>
        <w:pStyle w:val="ListParagraph"/>
        <w:numPr>
          <w:ilvl w:val="0"/>
          <w:numId w:val="2"/>
        </w:numPr>
        <w:spacing w:after="40" w:before="40"/>
      </w:pPr>
      <w:r>
        <w:rPr>
          <w:rFonts w:ascii="Arial" w:cs="Arial" w:eastAsia="Arial" w:hAnsi="Arial"/>
          <w:color w:val="1E293B"/>
          <w:sz w:val="20"/>
          <w:szCs w:val="20"/>
        </w:rPr>
        <w:t xml:space="preserve">Track all underpayments in the payer contract management log.</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Daily Reconciliation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Task</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Deadline</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Post all ERAs received</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Same business day</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Post all paper EOB payments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Within 24 hours of receipt</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Post all patient copays from front desk</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End of each business day</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Reconcile total deposits to total postings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End of each business day</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Report any unresolved discrepancies to supervisor</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Same business day</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7 — Patient Statements and Collections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BP-007</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Patient Billing and Collections Policy</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Billing Manager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collect patient balances in a way that is fair, clear, and respectful — while also making sure the practice collects what it is rightfully owed.</w:t>
      </w:r>
    </w:p>
    <w:p>
      <w:pPr>
        <w:pStyle w:val="Heading2"/>
        <w:spacing w:after="80" w:before="240"/>
      </w:pPr>
      <w:r>
        <w:rPr>
          <w:rFonts w:ascii="Arial" w:cs="Arial" w:eastAsia="Arial" w:hAnsi="Arial"/>
          <w:b/>
          <w:bCs/>
          <w:color w:val="0F766E"/>
          <w:sz w:val="26"/>
          <w:szCs w:val="26"/>
        </w:rPr>
        <w:t xml:space="preserve">When to Bill Patients</w:t>
      </w:r>
    </w:p>
    <w:p>
      <w:pPr>
        <w:spacing w:after="100" w:before="60"/>
        <w:jc w:val="both"/>
      </w:pPr>
      <w:r>
        <w:rPr>
          <w:rFonts w:ascii="Arial" w:cs="Arial" w:eastAsia="Arial" w:hAnsi="Arial"/>
          <w:color w:val="1E293B"/>
          <w:sz w:val="20"/>
          <w:szCs w:val="20"/>
        </w:rPr>
        <w:t xml:space="preserve">A patient statement should be sent as soon as all insurance payments for a date of service have been posted and the final patient balance is known. Do not send a patient a bill while insurance is still processing unless the patient specifically asks.</w:t>
      </w:r>
    </w:p>
    <w:p>
      <w:pPr>
        <w:spacing w:after="0" w:before="80"/>
      </w:pPr>
      <w:r>
        <w:t xml:space="preserve"/>
      </w:r>
    </w:p>
    <w:p>
      <w:pPr>
        <w:pStyle w:val="Heading2"/>
        <w:spacing w:after="80" w:before="240"/>
      </w:pPr>
      <w:r>
        <w:rPr>
          <w:rFonts w:ascii="Arial" w:cs="Arial" w:eastAsia="Arial" w:hAnsi="Arial"/>
          <w:b/>
          <w:bCs/>
          <w:color w:val="0F766E"/>
          <w:sz w:val="26"/>
          <w:szCs w:val="26"/>
        </w:rPr>
        <w:t xml:space="preserve">What Must Be on a Patient Statement</w:t>
      </w:r>
    </w:p>
    <w:p>
      <w:pPr>
        <w:pStyle w:val="ListParagraph"/>
        <w:numPr>
          <w:ilvl w:val="0"/>
          <w:numId w:val="2"/>
        </w:numPr>
        <w:spacing w:after="40" w:before="40"/>
      </w:pPr>
      <w:r>
        <w:rPr>
          <w:rFonts w:ascii="Arial" w:cs="Arial" w:eastAsia="Arial" w:hAnsi="Arial"/>
          <w:color w:val="1E293B"/>
          <w:sz w:val="20"/>
          <w:szCs w:val="20"/>
        </w:rPr>
        <w:t xml:space="preserve">Date of service and name of the provider seen</w:t>
      </w:r>
    </w:p>
    <w:p>
      <w:pPr>
        <w:pStyle w:val="ListParagraph"/>
        <w:numPr>
          <w:ilvl w:val="0"/>
          <w:numId w:val="2"/>
        </w:numPr>
        <w:spacing w:after="40" w:before="40"/>
      </w:pPr>
      <w:r>
        <w:rPr>
          <w:rFonts w:ascii="Arial" w:cs="Arial" w:eastAsia="Arial" w:hAnsi="Arial"/>
          <w:color w:val="1E293B"/>
          <w:sz w:val="20"/>
          <w:szCs w:val="20"/>
        </w:rPr>
        <w:t xml:space="preserve">Description of what was done (in plain language — not just a code number)</w:t>
      </w:r>
    </w:p>
    <w:p>
      <w:pPr>
        <w:pStyle w:val="ListParagraph"/>
        <w:numPr>
          <w:ilvl w:val="0"/>
          <w:numId w:val="2"/>
        </w:numPr>
        <w:spacing w:after="40" w:before="40"/>
      </w:pPr>
      <w:r>
        <w:rPr>
          <w:rFonts w:ascii="Arial" w:cs="Arial" w:eastAsia="Arial" w:hAnsi="Arial"/>
          <w:color w:val="1E293B"/>
          <w:sz w:val="20"/>
          <w:szCs w:val="20"/>
        </w:rPr>
        <w:t xml:space="preserve">Total charge</w:t>
      </w:r>
    </w:p>
    <w:p>
      <w:pPr>
        <w:pStyle w:val="ListParagraph"/>
        <w:numPr>
          <w:ilvl w:val="0"/>
          <w:numId w:val="2"/>
        </w:numPr>
        <w:spacing w:after="40" w:before="40"/>
      </w:pPr>
      <w:r>
        <w:rPr>
          <w:rFonts w:ascii="Arial" w:cs="Arial" w:eastAsia="Arial" w:hAnsi="Arial"/>
          <w:color w:val="1E293B"/>
          <w:sz w:val="20"/>
          <w:szCs w:val="20"/>
        </w:rPr>
        <w:t xml:space="preserve">What insurance paid</w:t>
      </w:r>
    </w:p>
    <w:p>
      <w:pPr>
        <w:pStyle w:val="ListParagraph"/>
        <w:numPr>
          <w:ilvl w:val="0"/>
          <w:numId w:val="2"/>
        </w:numPr>
        <w:spacing w:after="40" w:before="40"/>
      </w:pPr>
      <w:r>
        <w:rPr>
          <w:rFonts w:ascii="Arial" w:cs="Arial" w:eastAsia="Arial" w:hAnsi="Arial"/>
          <w:color w:val="1E293B"/>
          <w:sz w:val="20"/>
          <w:szCs w:val="20"/>
        </w:rPr>
        <w:t xml:space="preserve">What adjustments were applied</w:t>
      </w:r>
    </w:p>
    <w:p>
      <w:pPr>
        <w:pStyle w:val="ListParagraph"/>
        <w:numPr>
          <w:ilvl w:val="0"/>
          <w:numId w:val="2"/>
        </w:numPr>
        <w:spacing w:after="40" w:before="40"/>
      </w:pPr>
      <w:r>
        <w:rPr>
          <w:rFonts w:ascii="Arial" w:cs="Arial" w:eastAsia="Arial" w:hAnsi="Arial"/>
          <w:color w:val="1E293B"/>
          <w:sz w:val="20"/>
          <w:szCs w:val="20"/>
        </w:rPr>
        <w:t xml:space="preserve">What the patient owes and why</w:t>
      </w:r>
    </w:p>
    <w:p>
      <w:pPr>
        <w:pStyle w:val="ListParagraph"/>
        <w:numPr>
          <w:ilvl w:val="0"/>
          <w:numId w:val="2"/>
        </w:numPr>
        <w:spacing w:after="40" w:before="40"/>
      </w:pPr>
      <w:r>
        <w:rPr>
          <w:rFonts w:ascii="Arial" w:cs="Arial" w:eastAsia="Arial" w:hAnsi="Arial"/>
          <w:color w:val="1E293B"/>
          <w:sz w:val="20"/>
          <w:szCs w:val="20"/>
        </w:rPr>
        <w:t xml:space="preserve">Payment due date (usually 30 days from the statement date)</w:t>
      </w:r>
    </w:p>
    <w:p>
      <w:pPr>
        <w:pStyle w:val="ListParagraph"/>
        <w:numPr>
          <w:ilvl w:val="0"/>
          <w:numId w:val="2"/>
        </w:numPr>
        <w:spacing w:after="40" w:before="40"/>
      </w:pPr>
      <w:r>
        <w:rPr>
          <w:rFonts w:ascii="Arial" w:cs="Arial" w:eastAsia="Arial" w:hAnsi="Arial"/>
          <w:color w:val="1E293B"/>
          <w:sz w:val="20"/>
          <w:szCs w:val="20"/>
        </w:rPr>
        <w:t xml:space="preserve">Payment options: online portal, phone, mail, or in person</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Statement and Collection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Days After First Statement</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Action</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Day 0</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Send first statement to patient</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Day 30</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Send second statement with a friendly reminder</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Day 60</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Send third statement — note that account is past due</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Day 90</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Call the patient by phone — attempt to set up a payment plan</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Day 120</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Supervisor review — decide whether to send to collections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After Day 120</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Send to collection agency only with supervisor approval</w:t>
            </w:r>
          </w:p>
        </w:tc>
      </w:tr>
    </w:tbl>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F766E" w:sz="6"/>
              <w:left w:val="single" w:color="0F766E" w:sz="6"/>
              <w:bottom w:val="none"/>
              <w:right w:val="none"/>
            </w:tcBorders>
            <w:shd w:fill="CCFBF1" w:val="clear"/>
            <w:tcMar>
              <w:top w:type="dxa" w:w="120"/>
              <w:left w:type="dxa" w:w="160"/>
              <w:bottom w:type="dxa" w:w="120"/>
              <w:right w:type="dxa" w:w="160"/>
            </w:tcMar>
          </w:tcPr>
          <w:p>
            <w:pPr>
              <w:spacing w:after="40"/>
            </w:pPr>
            <w:r>
              <w:rPr>
                <w:rFonts w:ascii="Arial" w:cs="Arial" w:eastAsia="Arial" w:hAnsi="Arial"/>
                <w:b/>
                <w:bCs/>
                <w:color w:val="0F766E"/>
                <w:sz w:val="20"/>
                <w:szCs w:val="20"/>
              </w:rPr>
              <w:t xml:space="preserve">Patient Payment Plans:</w:t>
            </w:r>
          </w:p>
          <w:p>
            <w:pPr>
              <w:jc w:val="both"/>
            </w:pPr>
            <w:r>
              <w:rPr>
                <w:rFonts w:ascii="Arial" w:cs="Arial" w:eastAsia="Arial" w:hAnsi="Arial"/>
                <w:color w:val="1E293B"/>
                <w:sz w:val="20"/>
                <w:szCs w:val="20"/>
              </w:rPr>
              <w:t xml:space="preserve">Patients who cannot pay in full must be offered a payment plan. A payment plan keeps the account open, maintains the patient relationship, and avoids the cost of collections. Document all payment arrangements in the patient account.</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What Staff May NOT Do When Collecting Payments</w:t>
      </w:r>
    </w:p>
    <w:p>
      <w:pPr>
        <w:pStyle w:val="ListParagraph"/>
        <w:numPr>
          <w:ilvl w:val="0"/>
          <w:numId w:val="2"/>
        </w:numPr>
        <w:spacing w:after="40" w:before="40"/>
      </w:pPr>
      <w:r>
        <w:rPr>
          <w:rFonts w:ascii="Arial" w:cs="Arial" w:eastAsia="Arial" w:hAnsi="Arial"/>
          <w:color w:val="1E293B"/>
          <w:sz w:val="20"/>
          <w:szCs w:val="20"/>
        </w:rPr>
        <w:t xml:space="preserve">Staff must never threaten, insult, or pressure a patient to pay</w:t>
      </w:r>
    </w:p>
    <w:p>
      <w:pPr>
        <w:pStyle w:val="ListParagraph"/>
        <w:numPr>
          <w:ilvl w:val="0"/>
          <w:numId w:val="2"/>
        </w:numPr>
        <w:spacing w:after="40" w:before="40"/>
      </w:pPr>
      <w:r>
        <w:rPr>
          <w:rFonts w:ascii="Arial" w:cs="Arial" w:eastAsia="Arial" w:hAnsi="Arial"/>
          <w:color w:val="1E293B"/>
          <w:sz w:val="20"/>
          <w:szCs w:val="20"/>
        </w:rPr>
        <w:t xml:space="preserve">Staff must never contact a patient before 8 AM or after 9 PM</w:t>
      </w:r>
    </w:p>
    <w:p>
      <w:pPr>
        <w:pStyle w:val="ListParagraph"/>
        <w:numPr>
          <w:ilvl w:val="0"/>
          <w:numId w:val="2"/>
        </w:numPr>
        <w:spacing w:after="40" w:before="40"/>
      </w:pPr>
      <w:r>
        <w:rPr>
          <w:rFonts w:ascii="Arial" w:cs="Arial" w:eastAsia="Arial" w:hAnsi="Arial"/>
          <w:color w:val="1E293B"/>
          <w:sz w:val="20"/>
          <w:szCs w:val="20"/>
        </w:rPr>
        <w:t xml:space="preserve">Staff must never discuss a patient's balance with anyone other than the patient or their authorized representative</w:t>
      </w:r>
    </w:p>
    <w:p>
      <w:pPr>
        <w:pStyle w:val="ListParagraph"/>
        <w:numPr>
          <w:ilvl w:val="0"/>
          <w:numId w:val="2"/>
        </w:numPr>
        <w:spacing w:after="40" w:before="40"/>
      </w:pPr>
      <w:r>
        <w:rPr>
          <w:rFonts w:ascii="Arial" w:cs="Arial" w:eastAsia="Arial" w:hAnsi="Arial"/>
          <w:color w:val="1E293B"/>
          <w:sz w:val="20"/>
          <w:szCs w:val="20"/>
        </w:rPr>
        <w:t xml:space="preserve">Staff must never report a patient's debt to a credit agency without supervisor approval and a formal written notice to the patient</w:t>
      </w:r>
    </w:p>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8 — Compliance and Fraud Prevention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BP-008</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Billing Compliance and Anti-Fraud Standards</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Compliance Officer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make sure all billing activities follow federal and state laws. Healthcare billing fraud is a federal crime. This section explains what counts as fraud, what counts as an honest mistake, and how to avoid both.</w:t>
      </w:r>
    </w:p>
    <w:p>
      <w:pPr>
        <w:pStyle w:val="Heading2"/>
        <w:spacing w:after="80" w:before="240"/>
      </w:pPr>
      <w:r>
        <w:rPr>
          <w:rFonts w:ascii="Arial" w:cs="Arial" w:eastAsia="Arial" w:hAnsi="Arial"/>
          <w:b/>
          <w:bCs/>
          <w:color w:val="0F766E"/>
          <w:sz w:val="26"/>
          <w:szCs w:val="26"/>
        </w:rPr>
        <w:t xml:space="preserve">What Is Billing Fraud?</w:t>
      </w:r>
    </w:p>
    <w:p>
      <w:pPr>
        <w:spacing w:after="100" w:before="60"/>
        <w:jc w:val="both"/>
      </w:pPr>
      <w:r>
        <w:rPr>
          <w:rFonts w:ascii="Arial" w:cs="Arial" w:eastAsia="Arial" w:hAnsi="Arial"/>
          <w:color w:val="1E293B"/>
          <w:sz w:val="20"/>
          <w:szCs w:val="20"/>
        </w:rPr>
        <w:t xml:space="preserve">Billing fraud means intentionally submitting false or misleading information to get paid more than you deserve. Examples include:</w:t>
      </w:r>
    </w:p>
    <w:p>
      <w:pPr>
        <w:pStyle w:val="ListParagraph"/>
        <w:numPr>
          <w:ilvl w:val="0"/>
          <w:numId w:val="2"/>
        </w:numPr>
        <w:spacing w:after="40" w:before="40"/>
      </w:pPr>
      <w:r>
        <w:rPr>
          <w:rFonts w:ascii="Arial" w:cs="Arial" w:eastAsia="Arial" w:hAnsi="Arial"/>
          <w:color w:val="1E293B"/>
          <w:sz w:val="20"/>
          <w:szCs w:val="20"/>
        </w:rPr>
        <w:t xml:space="preserve">Upcoding: billing for a more expensive service than what was provided</w:t>
      </w:r>
    </w:p>
    <w:p>
      <w:pPr>
        <w:pStyle w:val="ListParagraph"/>
        <w:numPr>
          <w:ilvl w:val="0"/>
          <w:numId w:val="2"/>
        </w:numPr>
        <w:spacing w:after="40" w:before="40"/>
      </w:pPr>
      <w:r>
        <w:rPr>
          <w:rFonts w:ascii="Arial" w:cs="Arial" w:eastAsia="Arial" w:hAnsi="Arial"/>
          <w:color w:val="1E293B"/>
          <w:sz w:val="20"/>
          <w:szCs w:val="20"/>
        </w:rPr>
        <w:t xml:space="preserve">Phantom billing: billing for services that were never performed</w:t>
      </w:r>
    </w:p>
    <w:p>
      <w:pPr>
        <w:pStyle w:val="ListParagraph"/>
        <w:numPr>
          <w:ilvl w:val="0"/>
          <w:numId w:val="2"/>
        </w:numPr>
        <w:spacing w:after="40" w:before="40"/>
      </w:pPr>
      <w:r>
        <w:rPr>
          <w:rFonts w:ascii="Arial" w:cs="Arial" w:eastAsia="Arial" w:hAnsi="Arial"/>
          <w:color w:val="1E293B"/>
          <w:sz w:val="20"/>
          <w:szCs w:val="20"/>
        </w:rPr>
        <w:t xml:space="preserve">Unbundling: billing separate codes for services that should be billed together as one</w:t>
      </w:r>
    </w:p>
    <w:p>
      <w:pPr>
        <w:pStyle w:val="ListParagraph"/>
        <w:numPr>
          <w:ilvl w:val="0"/>
          <w:numId w:val="2"/>
        </w:numPr>
        <w:spacing w:after="40" w:before="40"/>
      </w:pPr>
      <w:r>
        <w:rPr>
          <w:rFonts w:ascii="Arial" w:cs="Arial" w:eastAsia="Arial" w:hAnsi="Arial"/>
          <w:color w:val="1E293B"/>
          <w:sz w:val="20"/>
          <w:szCs w:val="20"/>
        </w:rPr>
        <w:t xml:space="preserve">Billing for non-covered services disguised as covered ones</w:t>
      </w:r>
    </w:p>
    <w:p>
      <w:pPr>
        <w:pStyle w:val="ListParagraph"/>
        <w:numPr>
          <w:ilvl w:val="0"/>
          <w:numId w:val="2"/>
        </w:numPr>
        <w:spacing w:after="40" w:before="40"/>
      </w:pPr>
      <w:r>
        <w:rPr>
          <w:rFonts w:ascii="Arial" w:cs="Arial" w:eastAsia="Arial" w:hAnsi="Arial"/>
          <w:color w:val="1E293B"/>
          <w:sz w:val="20"/>
          <w:szCs w:val="20"/>
        </w:rPr>
        <w:t xml:space="preserve">Falsifying medical records to justify a claim</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A580C" w:sz="6"/>
              <w:left w:val="single" w:color="EA580C" w:sz="6"/>
              <w:bottom w:val="none"/>
              <w:right w:val="none"/>
            </w:tcBorders>
            <w:shd w:fill="FFF7ED" w:val="clear"/>
            <w:tcMar>
              <w:top w:type="dxa" w:w="120"/>
              <w:left w:type="dxa" w:w="160"/>
              <w:bottom w:type="dxa" w:w="120"/>
              <w:right w:type="dxa" w:w="160"/>
            </w:tcMar>
          </w:tcPr>
          <w:p>
            <w:pPr>
              <w:spacing w:after="40"/>
            </w:pPr>
            <w:r>
              <w:rPr>
                <w:rFonts w:ascii="Arial" w:cs="Arial" w:eastAsia="Arial" w:hAnsi="Arial"/>
                <w:b/>
                <w:bCs/>
                <w:color w:val="EA580C"/>
                <w:sz w:val="20"/>
                <w:szCs w:val="20"/>
              </w:rPr>
              <w:t xml:space="preserve">Important:</w:t>
            </w:r>
          </w:p>
          <w:p>
            <w:pPr>
              <w:jc w:val="both"/>
            </w:pPr>
            <w:r>
              <w:rPr>
                <w:rFonts w:ascii="Arial" w:cs="Arial" w:eastAsia="Arial" w:hAnsi="Arial"/>
                <w:color w:val="1E293B"/>
                <w:sz w:val="20"/>
                <w:szCs w:val="20"/>
              </w:rPr>
              <w:t xml:space="preserve">You do not have to intend to commit fraud to face serious consequences. Repeatedly ignoring billing rules or failing to correct known errors can also result in penalties under the False Claims Act.</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What Is a Billing Error (vs. Fraud)?</w:t>
      </w:r>
    </w:p>
    <w:p>
      <w:pPr>
        <w:spacing w:after="100" w:before="60"/>
        <w:jc w:val="both"/>
      </w:pPr>
      <w:r>
        <w:rPr>
          <w:rFonts w:ascii="Arial" w:cs="Arial" w:eastAsia="Arial" w:hAnsi="Arial"/>
          <w:color w:val="1E293B"/>
          <w:sz w:val="20"/>
          <w:szCs w:val="20"/>
        </w:rPr>
        <w:t xml:space="preserve">An honest billing error happens when staff make a mistake without any intent to deceive. Examples include a typo in a code, a miscommunication between the coder and the biller, or using an outdated fee schedule. The difference between an error and fraud is intent — but repeated errors that are never corrected can look like fraud to an auditor.</w:t>
      </w:r>
    </w:p>
    <w:p>
      <w:pPr>
        <w:spacing w:after="0" w:before="80"/>
      </w:pPr>
      <w:r>
        <w:t xml:space="preserve"/>
      </w:r>
    </w:p>
    <w:p>
      <w:pPr>
        <w:pStyle w:val="Heading2"/>
        <w:spacing w:after="80" w:before="240"/>
      </w:pPr>
      <w:r>
        <w:rPr>
          <w:rFonts w:ascii="Arial" w:cs="Arial" w:eastAsia="Arial" w:hAnsi="Arial"/>
          <w:b/>
          <w:bCs/>
          <w:color w:val="0F766E"/>
          <w:sz w:val="26"/>
          <w:szCs w:val="26"/>
        </w:rPr>
        <w:t xml:space="preserve">Your Responsibilities</w:t>
      </w:r>
    </w:p>
    <w:p>
      <w:pPr>
        <w:pStyle w:val="ListParagraph"/>
        <w:numPr>
          <w:ilvl w:val="0"/>
          <w:numId w:val="2"/>
        </w:numPr>
        <w:spacing w:after="40" w:before="40"/>
      </w:pPr>
      <w:r>
        <w:rPr>
          <w:rFonts w:ascii="Arial" w:cs="Arial" w:eastAsia="Arial" w:hAnsi="Arial"/>
          <w:color w:val="1E293B"/>
          <w:sz w:val="20"/>
          <w:szCs w:val="20"/>
        </w:rPr>
        <w:t xml:space="preserve">Never submit a claim you know to be incorrect</w:t>
      </w:r>
    </w:p>
    <w:p>
      <w:pPr>
        <w:pStyle w:val="ListParagraph"/>
        <w:numPr>
          <w:ilvl w:val="0"/>
          <w:numId w:val="2"/>
        </w:numPr>
        <w:spacing w:after="40" w:before="40"/>
      </w:pPr>
      <w:r>
        <w:rPr>
          <w:rFonts w:ascii="Arial" w:cs="Arial" w:eastAsia="Arial" w:hAnsi="Arial"/>
          <w:color w:val="1E293B"/>
          <w:sz w:val="20"/>
          <w:szCs w:val="20"/>
        </w:rPr>
        <w:t xml:space="preserve">Correct all billing errors as soon as they are discovered — even if the insurance already paid</w:t>
      </w:r>
    </w:p>
    <w:p>
      <w:pPr>
        <w:pStyle w:val="ListParagraph"/>
        <w:numPr>
          <w:ilvl w:val="0"/>
          <w:numId w:val="2"/>
        </w:numPr>
        <w:spacing w:after="40" w:before="40"/>
      </w:pPr>
      <w:r>
        <w:rPr>
          <w:rFonts w:ascii="Arial" w:cs="Arial" w:eastAsia="Arial" w:hAnsi="Arial"/>
          <w:color w:val="1E293B"/>
          <w:sz w:val="20"/>
          <w:szCs w:val="20"/>
        </w:rPr>
        <w:t xml:space="preserve">Report any billing practice that seems wrong to your supervisor immediately</w:t>
      </w:r>
    </w:p>
    <w:p>
      <w:pPr>
        <w:pStyle w:val="ListParagraph"/>
        <w:numPr>
          <w:ilvl w:val="0"/>
          <w:numId w:val="2"/>
        </w:numPr>
        <w:spacing w:after="40" w:before="40"/>
      </w:pPr>
      <w:r>
        <w:rPr>
          <w:rFonts w:ascii="Arial" w:cs="Arial" w:eastAsia="Arial" w:hAnsi="Arial"/>
          <w:color w:val="1E293B"/>
          <w:sz w:val="20"/>
          <w:szCs w:val="20"/>
        </w:rPr>
        <w:t xml:space="preserve">Use the anonymous compliance hotline if you are uncomfortable reporting directly</w:t>
      </w:r>
    </w:p>
    <w:p>
      <w:pPr>
        <w:pStyle w:val="ListParagraph"/>
        <w:numPr>
          <w:ilvl w:val="0"/>
          <w:numId w:val="2"/>
        </w:numPr>
        <w:spacing w:after="40" w:before="40"/>
      </w:pPr>
      <w:r>
        <w:rPr>
          <w:rFonts w:ascii="Arial" w:cs="Arial" w:eastAsia="Arial" w:hAnsi="Arial"/>
          <w:color w:val="1E293B"/>
          <w:sz w:val="20"/>
          <w:szCs w:val="20"/>
        </w:rPr>
        <w:t xml:space="preserve">Cooperate fully with any internal or external audit</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Key Laws Every Billing Staff Member Must Know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Law / Rule</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What It Says in Plain Language</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False Claims Act</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It is illegal to submit a false claim to the government. Penalties can be $13,000 or more per false claim, plus three times the amount wrongly paid.</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HIPAA</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information must be kept private. Sharing PHI without permission is a federal violation.</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Anti-Kickback Statute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No one may offer or receive payments in exchange for referrals covered by Medicare or Medicaid.</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Stark Law</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Physicians may not refer patients to facilities in which they have a financial interest, with limited exceptions.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OIG Compliance Guidelines</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The Office of Inspector General publishes guidelines for medical billing compliance that all practices should follow.</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9 — HIPAA and Patient Privacy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BP-009</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HIPAA Privacy and Security in the Billing Department</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Privacy Officer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protect the privacy of every patient by making sure billing staff handle patient information carefully, legally, and with respect at all times.</w:t>
      </w:r>
    </w:p>
    <w:p>
      <w:pPr>
        <w:pStyle w:val="Heading2"/>
        <w:spacing w:after="80" w:before="240"/>
      </w:pPr>
      <w:r>
        <w:rPr>
          <w:rFonts w:ascii="Arial" w:cs="Arial" w:eastAsia="Arial" w:hAnsi="Arial"/>
          <w:b/>
          <w:bCs/>
          <w:color w:val="0F766E"/>
          <w:sz w:val="26"/>
          <w:szCs w:val="26"/>
        </w:rPr>
        <w:t xml:space="preserve">What Is PHI?</w:t>
      </w:r>
    </w:p>
    <w:p>
      <w:pPr>
        <w:spacing w:after="100" w:before="60"/>
        <w:jc w:val="both"/>
      </w:pPr>
      <w:r>
        <w:rPr>
          <w:rFonts w:ascii="Arial" w:cs="Arial" w:eastAsia="Arial" w:hAnsi="Arial"/>
          <w:color w:val="1E293B"/>
          <w:sz w:val="20"/>
          <w:szCs w:val="20"/>
        </w:rPr>
        <w:t xml:space="preserve">PHI stands for Protected Health Information. It is any information that could identify a patient AND relates to their health, healthcare, or payment for healthcare. PHI includes names, dates of birth, addresses, Social Security numbers, medical record numbers, diagnosis codes, procedure codes, and claim information.</w:t>
      </w:r>
    </w:p>
    <w:p>
      <w:pPr>
        <w:spacing w:after="0" w:before="80"/>
      </w:pPr>
      <w:r>
        <w:t xml:space="preserve"/>
      </w:r>
    </w:p>
    <w:p>
      <w:pPr>
        <w:pStyle w:val="Heading2"/>
        <w:spacing w:after="80" w:before="240"/>
      </w:pPr>
      <w:r>
        <w:rPr>
          <w:rFonts w:ascii="Arial" w:cs="Arial" w:eastAsia="Arial" w:hAnsi="Arial"/>
          <w:b/>
          <w:bCs/>
          <w:color w:val="0F766E"/>
          <w:sz w:val="26"/>
          <w:szCs w:val="26"/>
        </w:rPr>
        <w:t xml:space="preserve">HIPAA Rules for Billing Staff</w:t>
      </w:r>
    </w:p>
    <w:p>
      <w:pPr>
        <w:pStyle w:val="ListParagraph"/>
        <w:numPr>
          <w:ilvl w:val="0"/>
          <w:numId w:val="2"/>
        </w:numPr>
        <w:spacing w:after="40" w:before="40"/>
      </w:pPr>
      <w:r>
        <w:rPr>
          <w:rFonts w:ascii="Arial" w:cs="Arial" w:eastAsia="Arial" w:hAnsi="Arial"/>
          <w:color w:val="1E293B"/>
          <w:sz w:val="20"/>
          <w:szCs w:val="20"/>
        </w:rPr>
        <w:t xml:space="preserve">Access only the patient information you need to do your job — do not look up records out of curiosity.</w:t>
      </w:r>
    </w:p>
    <w:p>
      <w:pPr>
        <w:pStyle w:val="ListParagraph"/>
        <w:numPr>
          <w:ilvl w:val="0"/>
          <w:numId w:val="2"/>
        </w:numPr>
        <w:spacing w:after="40" w:before="40"/>
      </w:pPr>
      <w:r>
        <w:rPr>
          <w:rFonts w:ascii="Arial" w:cs="Arial" w:eastAsia="Arial" w:hAnsi="Arial"/>
          <w:color w:val="1E293B"/>
          <w:sz w:val="20"/>
          <w:szCs w:val="20"/>
        </w:rPr>
        <w:t xml:space="preserve">Never share patient information with anyone who is not authorized — including family members, without the patient's written permission.</w:t>
      </w:r>
    </w:p>
    <w:p>
      <w:pPr>
        <w:pStyle w:val="ListParagraph"/>
        <w:numPr>
          <w:ilvl w:val="0"/>
          <w:numId w:val="2"/>
        </w:numPr>
        <w:spacing w:after="40" w:before="40"/>
      </w:pPr>
      <w:r>
        <w:rPr>
          <w:rFonts w:ascii="Arial" w:cs="Arial" w:eastAsia="Arial" w:hAnsi="Arial"/>
          <w:color w:val="1E293B"/>
          <w:sz w:val="20"/>
          <w:szCs w:val="20"/>
        </w:rPr>
        <w:t xml:space="preserve">Lock your computer screen whenever you leave your workstation, even for a minute.</w:t>
      </w:r>
    </w:p>
    <w:p>
      <w:pPr>
        <w:pStyle w:val="ListParagraph"/>
        <w:numPr>
          <w:ilvl w:val="0"/>
          <w:numId w:val="2"/>
        </w:numPr>
        <w:spacing w:after="40" w:before="40"/>
      </w:pPr>
      <w:r>
        <w:rPr>
          <w:rFonts w:ascii="Arial" w:cs="Arial" w:eastAsia="Arial" w:hAnsi="Arial"/>
          <w:color w:val="1E293B"/>
          <w:sz w:val="20"/>
          <w:szCs w:val="20"/>
        </w:rPr>
        <w:t xml:space="preserve">Do not send patient information via personal email or unsecured messaging apps.</w:t>
      </w:r>
    </w:p>
    <w:p>
      <w:pPr>
        <w:pStyle w:val="ListParagraph"/>
        <w:numPr>
          <w:ilvl w:val="0"/>
          <w:numId w:val="2"/>
        </w:numPr>
        <w:spacing w:after="40" w:before="40"/>
      </w:pPr>
      <w:r>
        <w:rPr>
          <w:rFonts w:ascii="Arial" w:cs="Arial" w:eastAsia="Arial" w:hAnsi="Arial"/>
          <w:color w:val="1E293B"/>
          <w:sz w:val="20"/>
          <w:szCs w:val="20"/>
        </w:rPr>
        <w:t xml:space="preserve">Shred all printed documents containing PHI before disposing of them.</w:t>
      </w:r>
    </w:p>
    <w:p>
      <w:pPr>
        <w:pStyle w:val="ListParagraph"/>
        <w:numPr>
          <w:ilvl w:val="0"/>
          <w:numId w:val="2"/>
        </w:numPr>
        <w:spacing w:after="40" w:before="40"/>
      </w:pPr>
      <w:r>
        <w:rPr>
          <w:rFonts w:ascii="Arial" w:cs="Arial" w:eastAsia="Arial" w:hAnsi="Arial"/>
          <w:color w:val="1E293B"/>
          <w:sz w:val="20"/>
          <w:szCs w:val="20"/>
        </w:rPr>
        <w:t xml:space="preserve">Do not discuss patient cases in public areas where others can hear.</w:t>
      </w:r>
    </w:p>
    <w:p>
      <w:pPr>
        <w:pStyle w:val="ListParagraph"/>
        <w:numPr>
          <w:ilvl w:val="0"/>
          <w:numId w:val="2"/>
        </w:numPr>
        <w:spacing w:after="40" w:before="40"/>
      </w:pPr>
      <w:r>
        <w:rPr>
          <w:rFonts w:ascii="Arial" w:cs="Arial" w:eastAsia="Arial" w:hAnsi="Arial"/>
          <w:color w:val="1E293B"/>
          <w:sz w:val="20"/>
          <w:szCs w:val="20"/>
        </w:rPr>
        <w:t xml:space="preserve">Report any suspected data breach to the Privacy Officer immediately — even if you are not sure.</w:t>
      </w:r>
    </w:p>
    <w:p>
      <w:pPr>
        <w:spacing w:after="0" w:before="120"/>
      </w:pPr>
      <w:r>
        <w:t xml:space="preserve"/>
      </w:r>
    </w:p>
    <w:p>
      <w:pPr>
        <w:pStyle w:val="Heading2"/>
        <w:spacing w:after="80" w:before="240"/>
      </w:pPr>
      <w:r>
        <w:rPr>
          <w:rFonts w:ascii="Arial" w:cs="Arial" w:eastAsia="Arial" w:hAnsi="Arial"/>
          <w:b/>
          <w:bCs/>
          <w:color w:val="0F766E"/>
          <w:sz w:val="26"/>
          <w:szCs w:val="26"/>
        </w:rPr>
        <w:t xml:space="preserve">Common HIPAA Mistakes in Billing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Mistake</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Why It Is a Problem</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Sending a statement to the wrong address</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Discloses patient information to unauthorized persons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Leaving a computer screen visible to others</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Anyone passing by can see patient PHI</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Discussing a patient case on the phone in a public area</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Third parties can overhear protected information</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Emailing unencrypted PHI</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Email can be intercepted by unauthorized parties</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Giving information to a family member without authorization</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Even a spouse cannot receive PHI without written consent</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Using patient data for research or marketing without consent</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Requires separate HIPAA authorization — billing use only</w:t>
            </w:r>
          </w:p>
        </w:tc>
      </w:tr>
    </w:tbl>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A580C" w:sz="6"/>
              <w:left w:val="single" w:color="EA580C" w:sz="6"/>
              <w:bottom w:val="none"/>
              <w:right w:val="none"/>
            </w:tcBorders>
            <w:shd w:fill="FFF7ED" w:val="clear"/>
            <w:tcMar>
              <w:top w:type="dxa" w:w="120"/>
              <w:left w:type="dxa" w:w="160"/>
              <w:bottom w:type="dxa" w:w="120"/>
              <w:right w:type="dxa" w:w="160"/>
            </w:tcMar>
          </w:tcPr>
          <w:p>
            <w:pPr>
              <w:spacing w:after="40"/>
            </w:pPr>
            <w:r>
              <w:rPr>
                <w:rFonts w:ascii="Arial" w:cs="Arial" w:eastAsia="Arial" w:hAnsi="Arial"/>
                <w:b/>
                <w:bCs/>
                <w:color w:val="EA580C"/>
                <w:sz w:val="20"/>
                <w:szCs w:val="20"/>
              </w:rPr>
              <w:t xml:space="preserve">Remember:</w:t>
            </w:r>
          </w:p>
          <w:p>
            <w:pPr>
              <w:jc w:val="both"/>
            </w:pPr>
            <w:r>
              <w:rPr>
                <w:rFonts w:ascii="Arial" w:cs="Arial" w:eastAsia="Arial" w:hAnsi="Arial"/>
                <w:color w:val="1E293B"/>
                <w:sz w:val="20"/>
                <w:szCs w:val="20"/>
              </w:rPr>
              <w:t xml:space="preserve">HIPAA violations can result in fines from $100 to $50,000 per violation. Criminal violations can result in prison time. This is not a rule to take lightly.</w:t>
            </w:r>
          </w:p>
        </w:tc>
      </w:tr>
    </w:tbl>
    <w:p>
      <w:r>
        <w:br w:type="page"/>
      </w:r>
    </w:p>
    <w:p>
      <w:pPr>
        <w:pStyle w:val="Heading1"/>
        <w:pBdr>
          <w:bottom w:val="single" w:color="1B3A6B" w:sz="4" w:space="4"/>
        </w:pBdr>
        <w:spacing w:after="120" w:before="360"/>
      </w:pPr>
      <w:r>
        <w:rPr>
          <w:rFonts w:ascii="Arial" w:cs="Arial" w:eastAsia="Arial" w:hAnsi="Arial"/>
          <w:b/>
          <w:bCs/>
          <w:color w:val="1B3A6B"/>
          <w:sz w:val="32"/>
          <w:szCs w:val="32"/>
        </w:rPr>
        <w:t xml:space="preserve">Section 10 — Performance Standards and Staff Accountability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Policy Number: BP-010</w:t>
            </w:r>
          </w:p>
        </w:tc>
        <w:tc>
          <w:tcPr>
            <w:tcW w:type="dxa" w:w="4680"/>
            <w:tcBorders>
              <w:top w:val="single" w:color="8EADD4" w:sz="1"/>
              <w:left w:val="single" w:color="8EADD4" w:sz="1"/>
              <w:bottom w:val="single" w:color="8EADD4" w:sz="1"/>
              <w:right w:val="single" w:color="8EADD4"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Effective Date: [Enter Date]</w:t>
            </w:r>
          </w:p>
        </w:tc>
      </w:tr>
      <w:tr>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Title: Billing Staff Productivity and Quality Standards</w:t>
            </w:r>
          </w:p>
        </w:tc>
        <w:tc>
          <w:tcPr>
            <w:tcW w:type="dxa" w:w="468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color w:val="1E293B"/>
                <w:sz w:val="18"/>
                <w:szCs w:val="18"/>
              </w:rPr>
              <w:t xml:space="preserve">Policy Owner: Billing Director</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Purpose</w:t>
      </w:r>
    </w:p>
    <w:p>
      <w:pPr>
        <w:spacing w:after="100" w:before="60"/>
        <w:jc w:val="both"/>
      </w:pPr>
      <w:r>
        <w:rPr>
          <w:rFonts w:ascii="Arial" w:cs="Arial" w:eastAsia="Arial" w:hAnsi="Arial"/>
          <w:color w:val="1E293B"/>
          <w:sz w:val="20"/>
          <w:szCs w:val="20"/>
        </w:rPr>
        <w:t xml:space="preserve">To set clear expectations for how much work billing staff are expected to complete each day and how accurate that work must be. These standards help ensure the department runs smoothly and that every staff member knows exactly what success looks like.</w:t>
      </w:r>
    </w:p>
    <w:p>
      <w:pPr>
        <w:pStyle w:val="Heading2"/>
        <w:spacing w:after="80" w:before="240"/>
      </w:pPr>
      <w:r>
        <w:rPr>
          <w:rFonts w:ascii="Arial" w:cs="Arial" w:eastAsia="Arial" w:hAnsi="Arial"/>
          <w:b/>
          <w:bCs/>
          <w:color w:val="0F766E"/>
          <w:sz w:val="26"/>
          <w:szCs w:val="26"/>
        </w:rPr>
        <w:t xml:space="preserve">Daily Productivity Targets</w:t>
      </w:r>
    </w:p>
    <w:p>
      <w:pPr>
        <w:spacing w:after="100" w:before="60"/>
        <w:jc w:val="both"/>
      </w:pPr>
      <w:r>
        <w:rPr>
          <w:rFonts w:ascii="Arial" w:cs="Arial" w:eastAsia="Arial" w:hAnsi="Arial"/>
          <w:color w:val="1E293B"/>
          <w:sz w:val="20"/>
          <w:szCs w:val="20"/>
        </w:rPr>
        <w:t xml:space="preserve">These targets are guidelines. Your manager may adjust them based on your specific role, the complexity of your work, or special projects.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Role / Task</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Minimum Daily Target</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Front desk — insurance verifications</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20 verifications per day</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Medical coder — chart coding</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25 to 40 charts per day (varies by complexity)</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Billing specialist — claim submission</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100 claims submitted per day</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A/R specialist — denial follow-up</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30 to 50 accounts worked per day</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Payment poster — EOB posting</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150 to 200 line items posted per day</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Quality Standards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Metric</w:t>
            </w:r>
          </w:p>
        </w:tc>
        <w:tc>
          <w:tcPr>
            <w:tcW w:type="dxa" w:w="6560"/>
            <w:tcBorders>
              <w:top w:val="single" w:color="CBD5E1" w:sz="1"/>
              <w:left w:val="single" w:color="CBD5E1" w:sz="1"/>
              <w:bottom w:val="single" w:color="CBD5E1" w:sz="1"/>
              <w:right w:val="single" w:color="CBD5E1" w:sz="1"/>
            </w:tcBorders>
            <w:shd w:fill="1B3A6B" w:val="clear"/>
            <w:tcMar>
              <w:top w:type="dxa" w:w="80"/>
              <w:left w:type="dxa" w:w="120"/>
              <w:bottom w:type="dxa" w:w="80"/>
              <w:right w:type="dxa" w:w="120"/>
            </w:tcMar>
          </w:tcPr>
          <w:p>
            <w:r>
              <w:rPr>
                <w:rFonts w:ascii="Arial" w:cs="Arial" w:eastAsia="Arial" w:hAnsi="Arial"/>
                <w:b/>
                <w:bCs/>
                <w:color w:val="FFFFFF"/>
                <w:sz w:val="18"/>
                <w:szCs w:val="18"/>
              </w:rPr>
              <w:t xml:space="preserve">Minimum Acceptable Standard</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Coding accuracy rate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95% or higher (chart audit)</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Clean claim rate at first submission</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95% or higher</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Days in A/R (average)</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Less than 45 days</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Denial rate</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Less than 5% of total claims submitted</w:t>
            </w:r>
          </w:p>
        </w:tc>
      </w:tr>
      <w:tr>
        <w:tc>
          <w:tcPr>
            <w:tcW w:type="dxa" w:w="28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Patient statement accuracy</w:t>
            </w:r>
          </w:p>
        </w:tc>
        <w:tc>
          <w:tcPr>
            <w:tcW w:type="dxa" w:w="65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100% — no statement may be sent with an error</w:t>
            </w:r>
          </w:p>
        </w:tc>
      </w:tr>
      <w:tr>
        <w:tc>
          <w:tcPr>
            <w:tcW w:type="dxa" w:w="28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Filing deadline compliance</w:t>
            </w:r>
          </w:p>
        </w:tc>
        <w:tc>
          <w:tcPr>
            <w:tcW w:type="dxa" w:w="65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100% — no claim may be submitted late</w:t>
            </w:r>
          </w:p>
        </w:tc>
      </w:tr>
    </w:tbl>
    <w:p>
      <w:pPr>
        <w:spacing w:after="0" w:before="120"/>
      </w:pPr>
      <w:r>
        <w:t xml:space="preserve"/>
      </w:r>
    </w:p>
    <w:p>
      <w:pPr>
        <w:pStyle w:val="Heading2"/>
        <w:spacing w:after="80" w:before="240"/>
      </w:pPr>
      <w:r>
        <w:rPr>
          <w:rFonts w:ascii="Arial" w:cs="Arial" w:eastAsia="Arial" w:hAnsi="Arial"/>
          <w:b/>
          <w:bCs/>
          <w:color w:val="0F766E"/>
          <w:sz w:val="26"/>
          <w:szCs w:val="26"/>
        </w:rPr>
        <w:t xml:space="preserve">Performance Reviews</w:t>
      </w:r>
    </w:p>
    <w:p>
      <w:pPr>
        <w:spacing w:after="100" w:before="60"/>
        <w:jc w:val="both"/>
      </w:pPr>
      <w:r>
        <w:rPr>
          <w:rFonts w:ascii="Arial" w:cs="Arial" w:eastAsia="Arial" w:hAnsi="Arial"/>
          <w:color w:val="1E293B"/>
          <w:sz w:val="20"/>
          <w:szCs w:val="20"/>
        </w:rPr>
        <w:t xml:space="preserve">All billing staff receive a performance review every six months. Reviews include a review of productivity numbers, quality metrics, compliance record, and feedback from supervisors. Staff who consistently fall below standards will receive a performance improvement plan. Staff who consistently exceed standards will be recognized and may be considered for advancement.</w:t>
      </w:r>
    </w:p>
    <w:p>
      <w:pPr>
        <w:spacing w:after="0" w:before="80"/>
      </w:pPr>
      <w:r>
        <w:t xml:space="preserve"/>
      </w:r>
    </w:p>
    <w:p>
      <w:pPr>
        <w:pStyle w:val="Heading2"/>
        <w:spacing w:after="80" w:before="240"/>
      </w:pPr>
      <w:r>
        <w:rPr>
          <w:rFonts w:ascii="Arial" w:cs="Arial" w:eastAsia="Arial" w:hAnsi="Arial"/>
          <w:b/>
          <w:bCs/>
          <w:color w:val="0F766E"/>
          <w:sz w:val="26"/>
          <w:szCs w:val="26"/>
        </w:rPr>
        <w:t xml:space="preserve">Acknowledgment and Sign-Off</w:t>
      </w:r>
    </w:p>
    <w:p>
      <w:pPr>
        <w:spacing w:after="100" w:before="60"/>
        <w:jc w:val="both"/>
      </w:pPr>
      <w:r>
        <w:rPr>
          <w:rFonts w:ascii="Arial" w:cs="Arial" w:eastAsia="Arial" w:hAnsi="Arial"/>
          <w:color w:val="1E293B"/>
          <w:sz w:val="20"/>
          <w:szCs w:val="20"/>
        </w:rPr>
        <w:t xml:space="preserve">I have read, understood, and agree to follow all policies and procedures in this Billing Policy and Procedure Manual. I understand that failure to follow these policies may result in corrective action up to and including termination of employment.</w:t>
      </w:r>
    </w:p>
    <w:p>
      <w:pPr>
        <w:spacing w:after="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bCs/>
                <w:color w:val="FFFFFF"/>
                <w:sz w:val="18"/>
                <w:szCs w:val="18"/>
              </w:rPr>
              <w:t xml:space="preserve"/>
            </w:r>
          </w:p>
        </w:tc>
        <w:tc>
          <w:tcPr>
            <w:tcW w:type="dxa" w:w="6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bCs/>
                <w:color w:val="FFFFFF"/>
                <w:sz w:val="18"/>
                <w:szCs w:val="18"/>
              </w:rPr>
              <w:t xml:space="preserve"/>
            </w:r>
          </w:p>
        </w:tc>
      </w:tr>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Employee Printed Name:</w:t>
            </w:r>
          </w:p>
        </w:tc>
        <w:tc>
          <w:tcPr>
            <w:tcW w:type="dxa" w:w="6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_______________________________</w:t>
            </w:r>
          </w:p>
        </w:tc>
      </w:tr>
      <w:tr>
        <w:tc>
          <w:tcPr>
            <w:tcW w:type="dxa" w:w="3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Employee Signature:</w:t>
            </w:r>
          </w:p>
        </w:tc>
        <w:tc>
          <w:tcPr>
            <w:tcW w:type="dxa" w:w="63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_______________________________</w:t>
            </w:r>
          </w:p>
        </w:tc>
      </w:tr>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Date:</w:t>
            </w:r>
          </w:p>
        </w:tc>
        <w:tc>
          <w:tcPr>
            <w:tcW w:type="dxa" w:w="6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_______________________________</w:t>
            </w:r>
          </w:p>
        </w:tc>
      </w:tr>
      <w:tr>
        <w:tc>
          <w:tcPr>
            <w:tcW w:type="dxa" w:w="300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Manager / Supervisor Signature:</w:t>
            </w:r>
          </w:p>
        </w:tc>
        <w:tc>
          <w:tcPr>
            <w:tcW w:type="dxa" w:w="6360"/>
            <w:tcBorders>
              <w:top w:val="single" w:color="CBD5E1" w:sz="1"/>
              <w:left w:val="single" w:color="CBD5E1" w:sz="1"/>
              <w:bottom w:val="single" w:color="CBD5E1" w:sz="1"/>
              <w:right w:val="single" w:color="CBD5E1" w:sz="1"/>
            </w:tcBorders>
            <w:shd w:fill="F8FAFC" w:val="clear"/>
            <w:tcMar>
              <w:top w:type="dxa" w:w="80"/>
              <w:left w:type="dxa" w:w="120"/>
              <w:bottom w:type="dxa" w:w="80"/>
              <w:right w:type="dxa" w:w="120"/>
            </w:tcMar>
          </w:tcPr>
          <w:p>
            <w:r>
              <w:rPr>
                <w:rFonts w:ascii="Arial" w:cs="Arial" w:eastAsia="Arial" w:hAnsi="Arial"/>
                <w:b w:val="false"/>
                <w:bCs w:val="false"/>
                <w:color w:val="1E293B"/>
                <w:sz w:val="18"/>
                <w:szCs w:val="18"/>
              </w:rPr>
              <w:t xml:space="preserve">_______________________________</w:t>
            </w:r>
          </w:p>
        </w:tc>
      </w:tr>
      <w:tr>
        <w:tc>
          <w:tcPr>
            <w:tcW w:type="dxa" w:w="300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Date:</w:t>
            </w:r>
          </w:p>
        </w:tc>
        <w:tc>
          <w:tcPr>
            <w:tcW w:type="dxa" w:w="6360"/>
            <w:tcBorders>
              <w:top w:val="single" w:color="CBD5E1" w:sz="1"/>
              <w:left w:val="single" w:color="CBD5E1" w:sz="1"/>
              <w:bottom w:val="single" w:color="CBD5E1" w:sz="1"/>
              <w:right w:val="single" w:color="CBD5E1" w:sz="1"/>
            </w:tcBorders>
            <w:shd w:fill="FFFFFF" w:val="clear"/>
            <w:tcMar>
              <w:top w:type="dxa" w:w="80"/>
              <w:left w:type="dxa" w:w="120"/>
              <w:bottom w:type="dxa" w:w="80"/>
              <w:right w:type="dxa" w:w="120"/>
            </w:tcMar>
          </w:tcPr>
          <w:p>
            <w:r>
              <w:rPr>
                <w:rFonts w:ascii="Arial" w:cs="Arial" w:eastAsia="Arial" w:hAnsi="Arial"/>
                <w:b w:val="false"/>
                <w:bCs w:val="false"/>
                <w:color w:val="1E293B"/>
                <w:sz w:val="18"/>
                <w:szCs w:val="18"/>
              </w:rPr>
              <w:t xml:space="preserve">_______________________________</w:t>
            </w:r>
          </w:p>
        </w:tc>
      </w:tr>
    </w:tbl>
    <w:p>
      <w:pPr>
        <w:spacing w:after="0" w:before="160"/>
      </w:pPr>
      <w:r>
        <w:t xml:space="preserve"/>
      </w:r>
    </w:p>
    <w:p>
      <w:pPr>
        <w:jc w:val="center"/>
      </w:pPr>
      <w:r>
        <w:rPr>
          <w:rFonts w:ascii="Arial" w:cs="Arial" w:eastAsia="Arial" w:hAnsi="Arial"/>
          <w:color w:val="475569"/>
          <w:sz w:val="16"/>
          <w:szCs w:val="16"/>
        </w:rPr>
        <w:t xml:space="preserve">Medical Billing Policy &amp; Procedure Manual  •  Version 1.0  •  Confidential — For Internal Use Only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3A6B" w:sz="4" w:space="4"/>
      </w:pBdr>
      <w:tabs>
        <w:tab w:val="right" w:pos="9026"/>
      </w:tabs>
    </w:pPr>
    <w:r>
      <w:rPr>
        <w:rFonts w:ascii="Arial" w:cs="Arial" w:eastAsia="Arial" w:hAnsi="Arial"/>
        <w:color w:val="475569"/>
        <w:sz w:val="16"/>
        <w:szCs w:val="16"/>
      </w:rPr>
      <w:t xml:space="preserve">For Internal Use Only  — Do Not Distribute</w:t>
    </w:r>
    <w:r>
      <w:rPr>
        <w:rFonts w:ascii="Arial" w:cs="Arial" w:eastAsia="Arial" w:hAnsi="Arial"/>
        <w:color w:val="475569"/>
        <w:sz w:val="16"/>
        <w:szCs w:val="16"/>
      </w:rPr>
      <w:t xml:space="preserve">	Page </w:t>
    </w:r>
    <w:pgNum/>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A6B" w:sz="4" w:space="4"/>
      </w:pBdr>
    </w:pPr>
    <w:r>
      <w:rPr>
        <w:rFonts w:ascii="Arial" w:cs="Arial" w:eastAsia="Arial" w:hAnsi="Arial"/>
        <w:b/>
        <w:bCs/>
        <w:color w:val="1B3A6B"/>
        <w:sz w:val="16"/>
        <w:szCs w:val="16"/>
      </w:rPr>
      <w:t xml:space="preserve">Medical Billing Policy &amp; Procedure Manual</w:t>
    </w:r>
    <w:r>
      <w:rPr>
        <w:rFonts w:ascii="Arial" w:cs="Arial" w:eastAsia="Arial" w:hAnsi="Arial"/>
        <w:color w:val="475569"/>
        <w:sz w:val="16"/>
        <w:szCs w:val="16"/>
      </w:rPr>
      <w:t xml:space="preserv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B3A6B"/>
      <w:sz w:val="32"/>
      <w:szCs w:val="32"/>
    </w:rPr>
  </w:style>
  <w:style w:type="paragraph" w:styleId="Heading2">
    <w:name w:val="Heading 2"/>
    <w:basedOn w:val="Normal"/>
    <w:next w:val="Normal"/>
    <w:qFormat/>
    <w:pPr>
      <w:spacing w:after="80" w:before="240"/>
      <w:outlineLvl w:val="1"/>
    </w:pPr>
    <w:rPr>
      <w:rFonts w:ascii="Arial" w:cs="Arial" w:eastAsia="Arial" w:hAnsi="Arial"/>
      <w:b/>
      <w:bCs/>
      <w:color w:val="0F766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2026-05-26T04:29:26.738Z</dcterms:created>
  <dcterms:modified xsi:type="dcterms:W3CDTF">2026-05-26T04:29:26.738Z</dcterms:modified>
</cp:coreProperties>
</file>

<file path=docProps/custom.xml><?xml version="1.0" encoding="utf-8"?>
<Properties xmlns="http://schemas.openxmlformats.org/officeDocument/2006/custom-properties" xmlns:vt="http://schemas.openxmlformats.org/officeDocument/2006/docPropsVTypes"/>
</file>