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jc w:val="center"/>
      </w:pPr>
      <w:r>
        <w:rPr>
          <w:rFonts w:ascii="Arial" w:cs="Arial" w:eastAsia="Arial" w:hAnsi="Arial"/>
          <w:b/>
          <w:bCs/>
          <w:color w:val="1F4E79"/>
          <w:sz w:val="56"/>
          <w:szCs w:val="56"/>
        </w:rPr>
        <w:t xml:space="preserve">MEDICAL BILLING</w:t>
      </w:r>
    </w:p>
    <w:p>
      <w:pPr>
        <w:spacing w:after="120" w:before="0"/>
        <w:jc w:val="center"/>
      </w:pPr>
      <w:r>
        <w:rPr>
          <w:rFonts w:ascii="Arial" w:cs="Arial" w:eastAsia="Arial" w:hAnsi="Arial"/>
          <w:b/>
          <w:bCs/>
          <w:color w:val="2E75B6"/>
          <w:sz w:val="48"/>
          <w:szCs w:val="48"/>
        </w:rPr>
        <w:t xml:space="preserve">COMPLIANCE POLICY</w:t>
      </w:r>
    </w:p>
    <w:p>
      <w:pPr>
        <w:spacing w:after="60" w:before="0"/>
        <w:jc w:val="center"/>
      </w:pPr>
      <w:r>
        <w:rPr>
          <w:rFonts w:ascii="Arial" w:cs="Arial" w:eastAsia="Arial" w:hAnsi="Arial"/>
          <w:color w:val="555555"/>
          <w:sz w:val="26"/>
          <w:szCs w:val="26"/>
        </w:rPr>
        <w:t xml:space="preserve">A Complete Guide for Your Billing Team</w:t>
      </w:r>
    </w:p>
    <w:p>
      <w:pPr>
        <w:pBdr>
          <w:bottom w:val="single" w:color="2E75B6" w:sz="4" w:space="1"/>
        </w:pBdr>
        <w:spacing w:after="200" w:before="20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c>
          <w:tcPr>
            <w:tcW w:type="dxa" w:w="234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Practice Name:</w:t>
            </w:r>
          </w:p>
        </w:tc>
        <w:tc>
          <w:tcPr>
            <w:tcW w:type="dxa" w:w="7020"/>
            <w:tcBorders>
              <w:top w:val="single" w:color="CCCCCC" w:sz="1"/>
              <w:left w:val="single" w:color="CCCCCC" w:sz="1"/>
              <w:bottom w:val="single" w:color="CCCCCC" w:sz="1"/>
              <w:right w:val="single" w:color="CCCCCC" w:sz="1"/>
            </w:tcBorders>
            <w:shd w:fill="EBF5FB"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[Your Practice Name Here]</w:t>
            </w:r>
          </w:p>
        </w:tc>
      </w:tr>
      <w:tr>
        <w:tc>
          <w:tcPr>
            <w:tcW w:type="dxa" w:w="234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Policy Number:</w:t>
            </w:r>
          </w:p>
        </w:tc>
        <w:tc>
          <w:tcPr>
            <w:tcW w:type="dxa" w:w="7020"/>
            <w:tcBorders>
              <w:top w:val="single" w:color="CCCCCC" w:sz="1"/>
              <w:left w:val="single" w:color="CCCCCC" w:sz="1"/>
              <w:bottom w:val="single" w:color="CCCCCC" w:sz="1"/>
              <w:right w:val="single" w:color="CCCCCC" w:sz="1"/>
            </w:tcBorders>
            <w:shd w:fill="EBF5FB"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MBC-2024-001</w:t>
            </w:r>
          </w:p>
        </w:tc>
      </w:tr>
      <w:tr>
        <w:tc>
          <w:tcPr>
            <w:tcW w:type="dxa" w:w="234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Effective Date:</w:t>
            </w:r>
          </w:p>
        </w:tc>
        <w:tc>
          <w:tcPr>
            <w:tcW w:type="dxa" w:w="7020"/>
            <w:tcBorders>
              <w:top w:val="single" w:color="CCCCCC" w:sz="1"/>
              <w:left w:val="single" w:color="CCCCCC" w:sz="1"/>
              <w:bottom w:val="single" w:color="CCCCCC" w:sz="1"/>
              <w:right w:val="single" w:color="CCCCCC" w:sz="1"/>
            </w:tcBorders>
            <w:shd w:fill="EBF5FB"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[Insert Date]</w:t>
            </w:r>
          </w:p>
        </w:tc>
      </w:tr>
      <w:tr>
        <w:tc>
          <w:tcPr>
            <w:tcW w:type="dxa" w:w="234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Reviewed By:</w:t>
            </w:r>
          </w:p>
        </w:tc>
        <w:tc>
          <w:tcPr>
            <w:tcW w:type="dxa" w:w="7020"/>
            <w:tcBorders>
              <w:top w:val="single" w:color="CCCCCC" w:sz="1"/>
              <w:left w:val="single" w:color="CCCCCC" w:sz="1"/>
              <w:bottom w:val="single" w:color="CCCCCC" w:sz="1"/>
              <w:right w:val="single" w:color="CCCCCC" w:sz="1"/>
            </w:tcBorders>
            <w:shd w:fill="EBF5FB"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[Compliance Officer Name]</w:t>
            </w:r>
          </w:p>
        </w:tc>
      </w:tr>
      <w:tr>
        <w:tc>
          <w:tcPr>
            <w:tcW w:type="dxa" w:w="234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Version:</w:t>
            </w:r>
          </w:p>
        </w:tc>
        <w:tc>
          <w:tcPr>
            <w:tcW w:type="dxa" w:w="7020"/>
            <w:tcBorders>
              <w:top w:val="single" w:color="CCCCCC" w:sz="1"/>
              <w:left w:val="single" w:color="CCCCCC" w:sz="1"/>
              <w:bottom w:val="single" w:color="CCCCCC" w:sz="1"/>
              <w:right w:val="single" w:color="CCCCCC" w:sz="1"/>
            </w:tcBorders>
            <w:shd w:fill="EBF5FB"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1.0</w:t>
            </w:r>
          </w:p>
        </w:tc>
      </w:tr>
    </w:tbl>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1. What Is This Policy About?</w:t>
      </w:r>
    </w:p>
    <w:p>
      <w:pPr>
        <w:spacing w:after="80" w:before="160"/>
      </w:pPr>
      <w:r>
        <w:rPr>
          <w:rFonts w:ascii="Arial" w:cs="Arial" w:eastAsia="Arial" w:hAnsi="Arial"/>
          <w:color w:val="333333"/>
          <w:sz w:val="22"/>
          <w:szCs w:val="22"/>
        </w:rPr>
        <w:t xml:space="preserve">This document tells everyone on your billing team exactly what to do — and what NOT to do — when billing insurance companies and patients for medical services. Following these rules keeps your practice safe from fines, audits, and legal trouble.</w:t>
      </w:r>
    </w:p>
    <w:p>
      <w:pPr>
        <w:spacing w:after="80" w:before="160"/>
      </w:pPr>
      <w:r>
        <w:rPr>
          <w:rFonts w:ascii="Arial" w:cs="Arial" w:eastAsia="Arial" w:hAnsi="Arial"/>
          <w:color w:val="333333"/>
          <w:sz w:val="22"/>
          <w:szCs w:val="22"/>
        </w:rPr>
        <w:t xml:space="preserve">Think of this policy as your billing rulebook. When everyone follows the same rules, mistakes go down, payments come in faster, and your practice stays out of trouble.</w:t>
      </w:r>
    </w:p>
    <w:p>
      <w:pPr>
        <w:pStyle w:val="Heading1"/>
        <w:spacing w:after="150" w:before="300"/>
      </w:pPr>
      <w:r>
        <w:rPr>
          <w:rFonts w:ascii="Arial" w:cs="Arial" w:eastAsia="Arial" w:hAnsi="Arial"/>
          <w:b/>
          <w:bCs/>
          <w:color w:val="1F4E79"/>
          <w:sz w:val="32"/>
          <w:szCs w:val="32"/>
        </w:rPr>
        <w:t xml:space="preserve">2. Who Must Follow This Policy?</w:t>
      </w:r>
    </w:p>
    <w:p>
      <w:pPr>
        <w:spacing w:after="80" w:before="160"/>
      </w:pPr>
      <w:r>
        <w:rPr>
          <w:rFonts w:ascii="Arial" w:cs="Arial" w:eastAsia="Arial" w:hAnsi="Arial"/>
          <w:color w:val="333333"/>
          <w:sz w:val="22"/>
          <w:szCs w:val="22"/>
        </w:rPr>
        <w:t xml:space="preserve">Every single person in your practice who touches billing in any way must follow this policy. This includes:</w:t>
      </w:r>
    </w:p>
    <w:p>
      <w:pPr>
        <w:pStyle w:val="ListParagraph"/>
        <w:numPr>
          <w:ilvl w:val="0"/>
          <w:numId w:val="2"/>
        </w:numPr>
        <w:spacing w:after="60" w:before="60"/>
      </w:pPr>
      <w:r>
        <w:rPr>
          <w:rFonts w:ascii="Arial" w:cs="Arial" w:eastAsia="Arial" w:hAnsi="Arial"/>
          <w:color w:val="333333"/>
          <w:sz w:val="22"/>
          <w:szCs w:val="22"/>
        </w:rPr>
        <w:t xml:space="preserve">Medical billers and coders</w:t>
      </w:r>
    </w:p>
    <w:p>
      <w:pPr>
        <w:pStyle w:val="ListParagraph"/>
        <w:numPr>
          <w:ilvl w:val="0"/>
          <w:numId w:val="2"/>
        </w:numPr>
        <w:spacing w:after="60" w:before="60"/>
      </w:pPr>
      <w:r>
        <w:rPr>
          <w:rFonts w:ascii="Arial" w:cs="Arial" w:eastAsia="Arial" w:hAnsi="Arial"/>
          <w:color w:val="333333"/>
          <w:sz w:val="22"/>
          <w:szCs w:val="22"/>
        </w:rPr>
        <w:t xml:space="preserve">Front desk staff who collect patient information</w:t>
      </w:r>
    </w:p>
    <w:p>
      <w:pPr>
        <w:pStyle w:val="ListParagraph"/>
        <w:numPr>
          <w:ilvl w:val="0"/>
          <w:numId w:val="2"/>
        </w:numPr>
        <w:spacing w:after="60" w:before="60"/>
      </w:pPr>
      <w:r>
        <w:rPr>
          <w:rFonts w:ascii="Arial" w:cs="Arial" w:eastAsia="Arial" w:hAnsi="Arial"/>
          <w:color w:val="333333"/>
          <w:sz w:val="22"/>
          <w:szCs w:val="22"/>
        </w:rPr>
        <w:t xml:space="preserve">Physicians, nurses, and all clinical staff who document services</w:t>
      </w:r>
    </w:p>
    <w:p>
      <w:pPr>
        <w:pStyle w:val="ListParagraph"/>
        <w:numPr>
          <w:ilvl w:val="0"/>
          <w:numId w:val="2"/>
        </w:numPr>
        <w:spacing w:after="60" w:before="60"/>
      </w:pPr>
      <w:r>
        <w:rPr>
          <w:rFonts w:ascii="Arial" w:cs="Arial" w:eastAsia="Arial" w:hAnsi="Arial"/>
          <w:color w:val="333333"/>
          <w:sz w:val="22"/>
          <w:szCs w:val="22"/>
        </w:rPr>
        <w:t xml:space="preserve">Practice managers and administrators</w:t>
      </w:r>
    </w:p>
    <w:p>
      <w:pPr>
        <w:pStyle w:val="ListParagraph"/>
        <w:numPr>
          <w:ilvl w:val="0"/>
          <w:numId w:val="2"/>
        </w:numPr>
        <w:spacing w:after="60" w:before="60"/>
      </w:pPr>
      <w:r>
        <w:rPr>
          <w:rFonts w:ascii="Arial" w:cs="Arial" w:eastAsia="Arial" w:hAnsi="Arial"/>
          <w:color w:val="333333"/>
          <w:sz w:val="22"/>
          <w:szCs w:val="22"/>
        </w:rPr>
        <w:t xml:space="preserve">Any outside billing company you have hired</w:t>
      </w:r>
    </w:p>
    <w:p>
      <w:pPr>
        <w:spacing w:after="80" w:before="160"/>
      </w:pPr>
      <w:r>
        <w:rPr>
          <w:rFonts w:ascii="Arial" w:cs="Arial" w:eastAsia="Arial" w:hAnsi="Arial"/>
          <w:color w:val="333333"/>
          <w:sz w:val="22"/>
          <w:szCs w:val="22"/>
        </w:rPr>
        <w:t xml:space="preserve">If someone works here and their job touches billing even a little bit — this policy applies to them.</w:t>
      </w:r>
    </w:p>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3. The Golden Rules of Medical Billing</w:t>
      </w:r>
    </w:p>
    <w:p>
      <w:pPr>
        <w:pStyle w:val="Heading2"/>
        <w:spacing w:after="120" w:before="240"/>
      </w:pPr>
      <w:r>
        <w:rPr>
          <w:rFonts w:ascii="Arial" w:cs="Arial" w:eastAsia="Arial" w:hAnsi="Arial"/>
          <w:b/>
          <w:bCs/>
          <w:color w:val="2E75B6"/>
          <w:sz w:val="26"/>
          <w:szCs w:val="26"/>
        </w:rPr>
        <w:t xml:space="preserve">3.1  Always Bill for What Actually Happened</w:t>
      </w:r>
    </w:p>
    <w:p>
      <w:pPr>
        <w:spacing w:after="80" w:before="160"/>
      </w:pPr>
      <w:r>
        <w:rPr>
          <w:rFonts w:ascii="Arial" w:cs="Arial" w:eastAsia="Arial" w:hAnsi="Arial"/>
          <w:color w:val="333333"/>
          <w:sz w:val="22"/>
          <w:szCs w:val="22"/>
        </w:rPr>
        <w:t xml:space="preserve">You can only bill for services that were truly provided to the patient. The doctor or provider must write it down in the patient's chart before it can be billed. No documentation = No billing. It is that simple.</w:t>
      </w:r>
    </w:p>
    <w:p>
      <w:pPr>
        <w:pStyle w:val="Heading2"/>
        <w:spacing w:after="120" w:before="240"/>
      </w:pPr>
      <w:r>
        <w:rPr>
          <w:rFonts w:ascii="Arial" w:cs="Arial" w:eastAsia="Arial" w:hAnsi="Arial"/>
          <w:b/>
          <w:bCs/>
          <w:color w:val="2E75B6"/>
          <w:sz w:val="26"/>
          <w:szCs w:val="26"/>
        </w:rPr>
        <w:t xml:space="preserve">3.2  Use the Right Codes</w:t>
      </w:r>
    </w:p>
    <w:p>
      <w:pPr>
        <w:spacing w:after="80" w:before="160"/>
      </w:pPr>
      <w:r>
        <w:rPr>
          <w:rFonts w:ascii="Arial" w:cs="Arial" w:eastAsia="Arial" w:hAnsi="Arial"/>
          <w:color w:val="333333"/>
          <w:sz w:val="22"/>
          <w:szCs w:val="22"/>
        </w:rPr>
        <w:t xml:space="preserve">Every service has a specific billing code (called a CPT code). Every diagnosis has a specific code too (called an ICD-10 code). Using the wrong code — even by accident — can cause big problems. Always use the code that best matches what actually happened.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DO THIS</w:t>
            </w:r>
          </w:p>
        </w:tc>
        <w:tc>
          <w:tcPr>
            <w:tcW w:type="dxa" w:w="468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NEVER DO THIS</w:t>
            </w:r>
          </w:p>
        </w:tc>
      </w:tr>
      <w:tr>
        <w:tc>
          <w:tcPr>
            <w:tcW w:type="dxa" w:w="4680"/>
            <w:tcBorders>
              <w:top w:val="single" w:color="CCCCCC" w:sz="1"/>
              <w:left w:val="single" w:color="CCCCCC" w:sz="1"/>
              <w:bottom w:val="single" w:color="CCCCCC" w:sz="1"/>
              <w:right w:val="single" w:color="CCCCCC" w:sz="1"/>
            </w:tcBorders>
            <w:shd w:fill="E8F5E9"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Bill for the exact service provided</w:t>
            </w:r>
          </w:p>
        </w:tc>
        <w:tc>
          <w:tcPr>
            <w:tcW w:type="dxa" w:w="4680"/>
            <w:tcBorders>
              <w:top w:val="single" w:color="CCCCCC" w:sz="1"/>
              <w:left w:val="single" w:color="CCCCCC" w:sz="1"/>
              <w:bottom w:val="single" w:color="CCCCCC" w:sz="1"/>
              <w:right w:val="single" w:color="CCCCCC" w:sz="1"/>
            </w:tcBorders>
            <w:shd w:fill="FFEBEE"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Bill for a more expensive service than what happened (upcoding)</w:t>
            </w:r>
          </w:p>
        </w:tc>
      </w:tr>
      <w:tr>
        <w:tc>
          <w:tcPr>
            <w:tcW w:type="dxa" w:w="4680"/>
            <w:tcBorders>
              <w:top w:val="single" w:color="CCCCCC" w:sz="1"/>
              <w:left w:val="single" w:color="CCCCCC" w:sz="1"/>
              <w:bottom w:val="single" w:color="CCCCCC" w:sz="1"/>
              <w:right w:val="single" w:color="CCCCCC" w:sz="1"/>
            </w:tcBorders>
            <w:shd w:fill="E8F5E9"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Use the code that matches the chart notes</w:t>
            </w:r>
          </w:p>
        </w:tc>
        <w:tc>
          <w:tcPr>
            <w:tcW w:type="dxa" w:w="4680"/>
            <w:tcBorders>
              <w:top w:val="single" w:color="CCCCCC" w:sz="1"/>
              <w:left w:val="single" w:color="CCCCCC" w:sz="1"/>
              <w:bottom w:val="single" w:color="CCCCCC" w:sz="1"/>
              <w:right w:val="single" w:color="CCCCCC" w:sz="1"/>
            </w:tcBorders>
            <w:shd w:fill="FFEBEE"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Bill for services that did not happen</w:t>
            </w:r>
          </w:p>
        </w:tc>
      </w:tr>
      <w:tr>
        <w:tc>
          <w:tcPr>
            <w:tcW w:type="dxa" w:w="4680"/>
            <w:tcBorders>
              <w:top w:val="single" w:color="CCCCCC" w:sz="1"/>
              <w:left w:val="single" w:color="CCCCCC" w:sz="1"/>
              <w:bottom w:val="single" w:color="CCCCCC" w:sz="1"/>
              <w:right w:val="single" w:color="CCCCCC" w:sz="1"/>
            </w:tcBorders>
            <w:shd w:fill="E8F5E9"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Document everything before billing</w:t>
            </w:r>
          </w:p>
        </w:tc>
        <w:tc>
          <w:tcPr>
            <w:tcW w:type="dxa" w:w="4680"/>
            <w:tcBorders>
              <w:top w:val="single" w:color="CCCCCC" w:sz="1"/>
              <w:left w:val="single" w:color="CCCCCC" w:sz="1"/>
              <w:bottom w:val="single" w:color="CCCCCC" w:sz="1"/>
              <w:right w:val="single" w:color="CCCCCC" w:sz="1"/>
            </w:tcBorders>
            <w:shd w:fill="FFEBEE"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Submit the same claim twice</w:t>
            </w:r>
          </w:p>
        </w:tc>
      </w:tr>
      <w:tr>
        <w:tc>
          <w:tcPr>
            <w:tcW w:type="dxa" w:w="4680"/>
            <w:tcBorders>
              <w:top w:val="single" w:color="CCCCCC" w:sz="1"/>
              <w:left w:val="single" w:color="CCCCCC" w:sz="1"/>
              <w:bottom w:val="single" w:color="CCCCCC" w:sz="1"/>
              <w:right w:val="single" w:color="CCCCCC" w:sz="1"/>
            </w:tcBorders>
            <w:shd w:fill="E8F5E9"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Check for duplicate claims before submitting</w:t>
            </w:r>
          </w:p>
        </w:tc>
        <w:tc>
          <w:tcPr>
            <w:tcW w:type="dxa" w:w="4680"/>
            <w:tcBorders>
              <w:top w:val="single" w:color="CCCCCC" w:sz="1"/>
              <w:left w:val="single" w:color="CCCCCC" w:sz="1"/>
              <w:bottom w:val="single" w:color="CCCCCC" w:sz="1"/>
              <w:right w:val="single" w:color="CCCCCC" w:sz="1"/>
            </w:tcBorders>
            <w:shd w:fill="FFEBEE"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Bill for services that are already included in another code (unbundling)</w:t>
            </w:r>
          </w:p>
        </w:tc>
      </w:tr>
    </w:tbl>
    <w:p>
      <w:pPr>
        <w:pStyle w:val="Heading2"/>
        <w:spacing w:after="120" w:before="240"/>
      </w:pPr>
      <w:r>
        <w:rPr>
          <w:rFonts w:ascii="Arial" w:cs="Arial" w:eastAsia="Arial" w:hAnsi="Arial"/>
          <w:b/>
          <w:bCs/>
          <w:color w:val="2E75B6"/>
          <w:sz w:val="26"/>
          <w:szCs w:val="26"/>
        </w:rPr>
        <w:t xml:space="preserve">3.3  Never Bill for Something That Did Not Happen</w:t>
      </w:r>
    </w:p>
    <w:p>
      <w:pPr>
        <w:spacing w:after="80" w:before="160"/>
      </w:pPr>
      <w:r>
        <w:rPr>
          <w:rFonts w:ascii="Arial" w:cs="Arial" w:eastAsia="Arial" w:hAnsi="Arial"/>
          <w:color w:val="333333"/>
          <w:sz w:val="22"/>
          <w:szCs w:val="22"/>
        </w:rPr>
        <w:t xml:space="preserve">Billing for a service that was never actually provided to the patient is called fraud. This is illegal. It can result in large fines, repaying all the money received, and even jail time. There are no exceptions to this rule.</w:t>
      </w:r>
    </w:p>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4. How to Handle Patient Information</w:t>
      </w:r>
    </w:p>
    <w:p>
      <w:pPr>
        <w:spacing w:after="80" w:before="160"/>
      </w:pPr>
      <w:r>
        <w:rPr>
          <w:rFonts w:ascii="Arial" w:cs="Arial" w:eastAsia="Arial" w:hAnsi="Arial"/>
          <w:color w:val="333333"/>
          <w:sz w:val="22"/>
          <w:szCs w:val="22"/>
        </w:rPr>
        <w:t xml:space="preserve">Patient information is private and must be protected at all times. This is required by a federal law called HIPAA (Health Insurance Portability and Accountability Act).</w:t>
      </w:r>
    </w:p>
    <w:p>
      <w:pPr>
        <w:pStyle w:val="Heading2"/>
        <w:spacing w:after="120" w:before="240"/>
      </w:pPr>
      <w:r>
        <w:rPr>
          <w:rFonts w:ascii="Arial" w:cs="Arial" w:eastAsia="Arial" w:hAnsi="Arial"/>
          <w:b/>
          <w:bCs/>
          <w:color w:val="2E75B6"/>
          <w:sz w:val="26"/>
          <w:szCs w:val="26"/>
        </w:rPr>
        <w:t xml:space="preserve">4.1  What You Must Do</w:t>
      </w:r>
    </w:p>
    <w:p>
      <w:pPr>
        <w:pStyle w:val="ListParagraph"/>
        <w:numPr>
          <w:ilvl w:val="0"/>
          <w:numId w:val="2"/>
        </w:numPr>
        <w:spacing w:after="60" w:before="60"/>
      </w:pPr>
      <w:r>
        <w:rPr>
          <w:rFonts w:ascii="Arial" w:cs="Arial" w:eastAsia="Arial" w:hAnsi="Arial"/>
          <w:color w:val="333333"/>
          <w:sz w:val="22"/>
          <w:szCs w:val="22"/>
        </w:rPr>
        <w:t xml:space="preserve">Only look at patient records when your job requires it</w:t>
      </w:r>
    </w:p>
    <w:p>
      <w:pPr>
        <w:pStyle w:val="ListParagraph"/>
        <w:numPr>
          <w:ilvl w:val="0"/>
          <w:numId w:val="2"/>
        </w:numPr>
        <w:spacing w:after="60" w:before="60"/>
      </w:pPr>
      <w:r>
        <w:rPr>
          <w:rFonts w:ascii="Arial" w:cs="Arial" w:eastAsia="Arial" w:hAnsi="Arial"/>
          <w:color w:val="333333"/>
          <w:sz w:val="22"/>
          <w:szCs w:val="22"/>
        </w:rPr>
        <w:t xml:space="preserve">Never share patient information with anyone who does not need it to do their job</w:t>
      </w:r>
    </w:p>
    <w:p>
      <w:pPr>
        <w:pStyle w:val="ListParagraph"/>
        <w:numPr>
          <w:ilvl w:val="0"/>
          <w:numId w:val="2"/>
        </w:numPr>
        <w:spacing w:after="60" w:before="60"/>
      </w:pPr>
      <w:r>
        <w:rPr>
          <w:rFonts w:ascii="Arial" w:cs="Arial" w:eastAsia="Arial" w:hAnsi="Arial"/>
          <w:color w:val="333333"/>
          <w:sz w:val="22"/>
          <w:szCs w:val="22"/>
        </w:rPr>
        <w:t xml:space="preserve">Lock your computer screen when you walk away from your desk</w:t>
      </w:r>
    </w:p>
    <w:p>
      <w:pPr>
        <w:pStyle w:val="ListParagraph"/>
        <w:numPr>
          <w:ilvl w:val="0"/>
          <w:numId w:val="2"/>
        </w:numPr>
        <w:spacing w:after="60" w:before="60"/>
      </w:pPr>
      <w:r>
        <w:rPr>
          <w:rFonts w:ascii="Arial" w:cs="Arial" w:eastAsia="Arial" w:hAnsi="Arial"/>
          <w:color w:val="333333"/>
          <w:sz w:val="22"/>
          <w:szCs w:val="22"/>
        </w:rPr>
        <w:t xml:space="preserve">Never send patient information through regular email — use a secure system</w:t>
      </w:r>
    </w:p>
    <w:p>
      <w:pPr>
        <w:pStyle w:val="ListParagraph"/>
        <w:numPr>
          <w:ilvl w:val="0"/>
          <w:numId w:val="2"/>
        </w:numPr>
        <w:spacing w:after="60" w:before="60"/>
      </w:pPr>
      <w:r>
        <w:rPr>
          <w:rFonts w:ascii="Arial" w:cs="Arial" w:eastAsia="Arial" w:hAnsi="Arial"/>
          <w:color w:val="333333"/>
          <w:sz w:val="22"/>
          <w:szCs w:val="22"/>
        </w:rPr>
        <w:t xml:space="preserve">Shred paper documents with patient information instead of throwing them in the trash</w:t>
      </w:r>
    </w:p>
    <w:p>
      <w:pPr>
        <w:pStyle w:val="Heading2"/>
        <w:spacing w:after="120" w:before="240"/>
      </w:pPr>
      <w:r>
        <w:rPr>
          <w:rFonts w:ascii="Arial" w:cs="Arial" w:eastAsia="Arial" w:hAnsi="Arial"/>
          <w:b/>
          <w:bCs/>
          <w:color w:val="2E75B6"/>
          <w:sz w:val="26"/>
          <w:szCs w:val="26"/>
        </w:rPr>
        <w:t xml:space="preserve">4.2  What Happens If Patient Information Is Leaked</w:t>
      </w:r>
    </w:p>
    <w:p>
      <w:pPr>
        <w:spacing w:after="80" w:before="160"/>
      </w:pPr>
      <w:r>
        <w:rPr>
          <w:rFonts w:ascii="Arial" w:cs="Arial" w:eastAsia="Arial" w:hAnsi="Arial"/>
          <w:color w:val="333333"/>
          <w:sz w:val="22"/>
          <w:szCs w:val="22"/>
        </w:rPr>
        <w:t xml:space="preserve">A breach of patient information (called a HIPAA breach) must be reported immediately to your supervisor. Depending on how many patients are affected, the federal government may also need to be notified. Hiding a breach is never allowed and makes the penalties much worse.</w:t>
      </w:r>
    </w:p>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5. Checking Insurance Before the Appointment</w:t>
      </w:r>
    </w:p>
    <w:p>
      <w:pPr>
        <w:spacing w:after="80" w:before="160"/>
      </w:pPr>
      <w:r>
        <w:rPr>
          <w:rFonts w:ascii="Arial" w:cs="Arial" w:eastAsia="Arial" w:hAnsi="Arial"/>
          <w:color w:val="333333"/>
          <w:sz w:val="22"/>
          <w:szCs w:val="22"/>
        </w:rPr>
        <w:t xml:space="preserve">Before every patient appointment, someone on your team must verify the patient's insurance coverage. This simple step prevents a huge number of billing problems.</w:t>
      </w:r>
    </w:p>
    <w:p>
      <w:pPr>
        <w:pStyle w:val="Heading2"/>
        <w:spacing w:after="120" w:before="240"/>
      </w:pPr>
      <w:r>
        <w:rPr>
          <w:rFonts w:ascii="Arial" w:cs="Arial" w:eastAsia="Arial" w:hAnsi="Arial"/>
          <w:b/>
          <w:bCs/>
          <w:color w:val="2E75B6"/>
          <w:sz w:val="26"/>
          <w:szCs w:val="26"/>
        </w:rPr>
        <w:t xml:space="preserve">5.1  The Pre-Visit Insurance Checklist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5860"/>
        <w:gridCol w:w="1500"/>
        <w:gridCol w:w="1500"/>
      </w:tblGrid>
      <w:tr>
        <w:tc>
          <w:tcPr>
            <w:tcW w:type="dxa" w:w="50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w:t>
            </w:r>
          </w:p>
        </w:tc>
        <w:tc>
          <w:tcPr>
            <w:tcW w:type="dxa" w:w="586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Task</w:t>
            </w:r>
          </w:p>
        </w:tc>
        <w:tc>
          <w:tcPr>
            <w:tcW w:type="dxa" w:w="150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Who Does It</w:t>
            </w:r>
          </w:p>
        </w:tc>
        <w:tc>
          <w:tcPr>
            <w:tcW w:type="dxa" w:w="150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Done?</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1</w:t>
            </w:r>
          </w:p>
        </w:tc>
        <w:tc>
          <w:tcPr>
            <w:tcW w:type="dxa" w:w="58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Call or check online to verify insurance is active</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Front Desk</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2</w:t>
            </w:r>
          </w:p>
        </w:tc>
        <w:tc>
          <w:tcPr>
            <w:tcW w:type="dxa" w:w="58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Confirm the visit is covered under the patient's plan</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Front Desk</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3</w:t>
            </w:r>
          </w:p>
        </w:tc>
        <w:tc>
          <w:tcPr>
            <w:tcW w:type="dxa" w:w="58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Find out the patient's copay and deductible amount</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Front Desk</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4</w:t>
            </w:r>
          </w:p>
        </w:tc>
        <w:tc>
          <w:tcPr>
            <w:tcW w:type="dxa" w:w="58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Get a referral or prior authorization if required</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Billing Staff</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 ]</w:t>
            </w:r>
          </w:p>
        </w:tc>
      </w:tr>
      <w:tr>
        <w:tc>
          <w:tcPr>
            <w:tcW w:type="dxa" w:w="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5</w:t>
            </w:r>
          </w:p>
        </w:tc>
        <w:tc>
          <w:tcPr>
            <w:tcW w:type="dxa" w:w="586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Copy the insurance card (front and back)</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Front Desk</w:t>
            </w:r>
          </w:p>
        </w:tc>
        <w:tc>
          <w:tcPr>
            <w:tcW w:type="dxa" w:w="150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 ]</w:t>
            </w:r>
          </w:p>
        </w:tc>
      </w:tr>
    </w:tbl>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6. Submitting Claims the Right Way</w:t>
      </w:r>
    </w:p>
    <w:p>
      <w:pPr>
        <w:pStyle w:val="Heading2"/>
        <w:spacing w:after="120" w:before="240"/>
      </w:pPr>
      <w:r>
        <w:rPr>
          <w:rFonts w:ascii="Arial" w:cs="Arial" w:eastAsia="Arial" w:hAnsi="Arial"/>
          <w:b/>
          <w:bCs/>
          <w:color w:val="2E75B6"/>
          <w:sz w:val="26"/>
          <w:szCs w:val="26"/>
        </w:rPr>
        <w:t xml:space="preserve">6.1  Before You Submit</w:t>
      </w:r>
    </w:p>
    <w:p>
      <w:pPr>
        <w:spacing w:after="80" w:before="160"/>
      </w:pPr>
      <w:r>
        <w:rPr>
          <w:rFonts w:ascii="Arial" w:cs="Arial" w:eastAsia="Arial" w:hAnsi="Arial"/>
          <w:color w:val="333333"/>
          <w:sz w:val="22"/>
          <w:szCs w:val="22"/>
        </w:rPr>
        <w:t xml:space="preserve">Every claim must be reviewed before it is sent to the insurance company. A claim with errors will be rejected or denied, which slows down payment and creates extra work.</w:t>
      </w:r>
    </w:p>
    <w:p>
      <w:pPr>
        <w:pStyle w:val="ListParagraph"/>
        <w:numPr>
          <w:ilvl w:val="0"/>
          <w:numId w:val="2"/>
        </w:numPr>
        <w:spacing w:after="60" w:before="60"/>
      </w:pPr>
      <w:r>
        <w:rPr>
          <w:rFonts w:ascii="Arial" w:cs="Arial" w:eastAsia="Arial" w:hAnsi="Arial"/>
          <w:color w:val="333333"/>
          <w:sz w:val="22"/>
          <w:szCs w:val="22"/>
        </w:rPr>
        <w:t xml:space="preserve">Check that the patient name and date of birth match the insurance file exactly</w:t>
      </w:r>
    </w:p>
    <w:p>
      <w:pPr>
        <w:pStyle w:val="ListParagraph"/>
        <w:numPr>
          <w:ilvl w:val="0"/>
          <w:numId w:val="2"/>
        </w:numPr>
        <w:spacing w:after="60" w:before="60"/>
      </w:pPr>
      <w:r>
        <w:rPr>
          <w:rFonts w:ascii="Arial" w:cs="Arial" w:eastAsia="Arial" w:hAnsi="Arial"/>
          <w:color w:val="333333"/>
          <w:sz w:val="22"/>
          <w:szCs w:val="22"/>
        </w:rPr>
        <w:t xml:space="preserve">Confirm the diagnosis codes match the reason for the visit</w:t>
      </w:r>
    </w:p>
    <w:p>
      <w:pPr>
        <w:pStyle w:val="ListParagraph"/>
        <w:numPr>
          <w:ilvl w:val="0"/>
          <w:numId w:val="2"/>
        </w:numPr>
        <w:spacing w:after="60" w:before="60"/>
      </w:pPr>
      <w:r>
        <w:rPr>
          <w:rFonts w:ascii="Arial" w:cs="Arial" w:eastAsia="Arial" w:hAnsi="Arial"/>
          <w:color w:val="333333"/>
          <w:sz w:val="22"/>
          <w:szCs w:val="22"/>
        </w:rPr>
        <w:t xml:space="preserve">Make sure the procedure codes match the doctor's notes</w:t>
      </w:r>
    </w:p>
    <w:p>
      <w:pPr>
        <w:pStyle w:val="ListParagraph"/>
        <w:numPr>
          <w:ilvl w:val="0"/>
          <w:numId w:val="2"/>
        </w:numPr>
        <w:spacing w:after="60" w:before="60"/>
      </w:pPr>
      <w:r>
        <w:rPr>
          <w:rFonts w:ascii="Arial" w:cs="Arial" w:eastAsia="Arial" w:hAnsi="Arial"/>
          <w:color w:val="333333"/>
          <w:sz w:val="22"/>
          <w:szCs w:val="22"/>
        </w:rPr>
        <w:t xml:space="preserve">Verify the rendering provider's name and NPI number are correct</w:t>
      </w:r>
    </w:p>
    <w:p>
      <w:pPr>
        <w:pStyle w:val="ListParagraph"/>
        <w:numPr>
          <w:ilvl w:val="0"/>
          <w:numId w:val="2"/>
        </w:numPr>
        <w:spacing w:after="60" w:before="60"/>
      </w:pPr>
      <w:r>
        <w:rPr>
          <w:rFonts w:ascii="Arial" w:cs="Arial" w:eastAsia="Arial" w:hAnsi="Arial"/>
          <w:color w:val="333333"/>
          <w:sz w:val="22"/>
          <w:szCs w:val="22"/>
        </w:rPr>
        <w:t xml:space="preserve">Check that the date of service is accurate</w:t>
      </w:r>
    </w:p>
    <w:p>
      <w:pPr>
        <w:pStyle w:val="Heading2"/>
        <w:spacing w:after="120" w:before="240"/>
      </w:pPr>
      <w:r>
        <w:rPr>
          <w:rFonts w:ascii="Arial" w:cs="Arial" w:eastAsia="Arial" w:hAnsi="Arial"/>
          <w:b/>
          <w:bCs/>
          <w:color w:val="2E75B6"/>
          <w:sz w:val="26"/>
          <w:szCs w:val="26"/>
        </w:rPr>
        <w:t xml:space="preserve">6.2  Claim Submission Timeframes</w:t>
      </w:r>
    </w:p>
    <w:p>
      <w:pPr>
        <w:spacing w:after="80" w:before="160"/>
      </w:pPr>
      <w:r>
        <w:rPr>
          <w:rFonts w:ascii="Arial" w:cs="Arial" w:eastAsia="Arial" w:hAnsi="Arial"/>
          <w:color w:val="333333"/>
          <w:sz w:val="22"/>
          <w:szCs w:val="22"/>
        </w:rPr>
        <w:t xml:space="preserve">Every insurance company has a deadline for receiving claims. Missing the deadline means the claim will be denied and the practice will not get paid. Check each payer's deadline and set up a reminder system.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Payer Type</w:t>
            </w:r>
          </w:p>
        </w:tc>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Typical Deadline</w:t>
            </w:r>
          </w:p>
        </w:tc>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Notes</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Medicare</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1 year from date of service</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No exceptions allowed</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Medicaid</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Varies by state (90 days to 1 year)</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Check your state rules</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Commercial Insurance</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90 days to 1 year</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Check each contract</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Workers Compensation</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Varies significantly</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Verify before billing</w:t>
            </w:r>
          </w:p>
        </w:tc>
      </w:tr>
    </w:tbl>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7. What to Do When a Claim Is Denied</w:t>
      </w:r>
    </w:p>
    <w:p>
      <w:pPr>
        <w:spacing w:after="80" w:before="160"/>
      </w:pPr>
      <w:r>
        <w:rPr>
          <w:rFonts w:ascii="Arial" w:cs="Arial" w:eastAsia="Arial" w:hAnsi="Arial"/>
          <w:color w:val="333333"/>
          <w:sz w:val="22"/>
          <w:szCs w:val="22"/>
        </w:rPr>
        <w:t xml:space="preserve">A denied claim does not always mean you will not get paid. Most denials can be fixed and resubmitted. When you receive a denial, do not ignore it.</w:t>
      </w:r>
    </w:p>
    <w:p>
      <w:pPr>
        <w:pStyle w:val="Heading2"/>
        <w:spacing w:after="120" w:before="240"/>
      </w:pPr>
      <w:r>
        <w:rPr>
          <w:rFonts w:ascii="Arial" w:cs="Arial" w:eastAsia="Arial" w:hAnsi="Arial"/>
          <w:b/>
          <w:bCs/>
          <w:color w:val="2E75B6"/>
          <w:sz w:val="26"/>
          <w:szCs w:val="26"/>
        </w:rPr>
        <w:t xml:space="preserve">Step 1: Read the Denial Reason Carefully</w:t>
      </w:r>
    </w:p>
    <w:p>
      <w:pPr>
        <w:spacing w:after="80" w:before="160"/>
      </w:pPr>
      <w:r>
        <w:rPr>
          <w:rFonts w:ascii="Arial" w:cs="Arial" w:eastAsia="Arial" w:hAnsi="Arial"/>
          <w:color w:val="333333"/>
          <w:sz w:val="22"/>
          <w:szCs w:val="22"/>
        </w:rPr>
        <w:t xml:space="preserve">Every denial comes with a reason code. Look up what the code means. Common reasons include wrong information submitted, the service needs prior authorization, or the patient was not covered on that date.</w:t>
      </w:r>
    </w:p>
    <w:p>
      <w:pPr>
        <w:pStyle w:val="Heading2"/>
        <w:spacing w:after="120" w:before="240"/>
      </w:pPr>
      <w:r>
        <w:rPr>
          <w:rFonts w:ascii="Arial" w:cs="Arial" w:eastAsia="Arial" w:hAnsi="Arial"/>
          <w:b/>
          <w:bCs/>
          <w:color w:val="2E75B6"/>
          <w:sz w:val="26"/>
          <w:szCs w:val="26"/>
        </w:rPr>
        <w:t xml:space="preserve">Step 2: Gather the Correct Information</w:t>
      </w:r>
    </w:p>
    <w:p>
      <w:pPr>
        <w:spacing w:after="80" w:before="160"/>
      </w:pPr>
      <w:r>
        <w:rPr>
          <w:rFonts w:ascii="Arial" w:cs="Arial" w:eastAsia="Arial" w:hAnsi="Arial"/>
          <w:color w:val="333333"/>
          <w:sz w:val="22"/>
          <w:szCs w:val="22"/>
        </w:rPr>
        <w:t xml:space="preserve">Fix whatever caused the denial. If a code was wrong, get the correct code. If documentation was missing, pull the chart notes. If prior authorization was needed, start the authorization process.</w:t>
      </w:r>
    </w:p>
    <w:p>
      <w:pPr>
        <w:pStyle w:val="Heading2"/>
        <w:spacing w:after="120" w:before="240"/>
      </w:pPr>
      <w:r>
        <w:rPr>
          <w:rFonts w:ascii="Arial" w:cs="Arial" w:eastAsia="Arial" w:hAnsi="Arial"/>
          <w:b/>
          <w:bCs/>
          <w:color w:val="2E75B6"/>
          <w:sz w:val="26"/>
          <w:szCs w:val="26"/>
        </w:rPr>
        <w:t xml:space="preserve">Step 3: Submit the Appeal Before the Deadline</w:t>
      </w:r>
    </w:p>
    <w:p>
      <w:pPr>
        <w:spacing w:after="80" w:before="160"/>
      </w:pPr>
      <w:r>
        <w:rPr>
          <w:rFonts w:ascii="Arial" w:cs="Arial" w:eastAsia="Arial" w:hAnsi="Arial"/>
          <w:color w:val="333333"/>
          <w:sz w:val="22"/>
          <w:szCs w:val="22"/>
        </w:rPr>
        <w:t xml:space="preserve">Every payer has an appeal deadline. Missing it means losing the money permanently. Track all appeal deadlines in your billing system and set calendar reminders.</w:t>
      </w:r>
    </w:p>
    <w:p>
      <w:pPr>
        <w:pStyle w:val="Heading2"/>
        <w:spacing w:after="120" w:before="240"/>
      </w:pPr>
      <w:r>
        <w:rPr>
          <w:rFonts w:ascii="Arial" w:cs="Arial" w:eastAsia="Arial" w:hAnsi="Arial"/>
          <w:b/>
          <w:bCs/>
          <w:color w:val="2E75B6"/>
          <w:sz w:val="26"/>
          <w:szCs w:val="26"/>
        </w:rPr>
        <w:t xml:space="preserve">Step 4: Track the Appeal</w:t>
      </w:r>
    </w:p>
    <w:p>
      <w:pPr>
        <w:spacing w:after="80" w:before="160"/>
      </w:pPr>
      <w:r>
        <w:rPr>
          <w:rFonts w:ascii="Arial" w:cs="Arial" w:eastAsia="Arial" w:hAnsi="Arial"/>
          <w:color w:val="333333"/>
          <w:sz w:val="22"/>
          <w:szCs w:val="22"/>
        </w:rPr>
        <w:t xml:space="preserve">Do not submit an appeal and forget about it. Follow up every 2 weeks until you get a response. If the appeal is denied again, review whether it makes sense to escalate further.</w:t>
      </w:r>
    </w:p>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8. Compliance Training Requirements</w:t>
      </w:r>
    </w:p>
    <w:p>
      <w:pPr>
        <w:spacing w:after="80" w:before="160"/>
      </w:pPr>
      <w:r>
        <w:rPr>
          <w:rFonts w:ascii="Arial" w:cs="Arial" w:eastAsia="Arial" w:hAnsi="Arial"/>
          <w:color w:val="333333"/>
          <w:sz w:val="22"/>
          <w:szCs w:val="22"/>
        </w:rPr>
        <w:t xml:space="preserve">Every person covered by this policy must complete compliance training. This is not optional. Training helps prevent mistakes and keeps everyone up to date on the latest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Training Topic</w:t>
            </w:r>
          </w:p>
        </w:tc>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Who Must Complete It</w:t>
            </w:r>
          </w:p>
        </w:tc>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How Often</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General billing compliance overview</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All staff</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Every year</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HIPAA privacy and security</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All staff</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Every year</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Medical coding updates</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Billers and coders</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Every year (codes change annually)</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Fraud awareness</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All staff</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Every year</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New employee orientation training</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New hires</w:t>
            </w:r>
          </w:p>
        </w:tc>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Within first 30 days of hire</w:t>
            </w:r>
          </w:p>
        </w:tc>
      </w:tr>
    </w:tbl>
    <w:p>
      <w:pPr>
        <w:spacing w:after="80" w:before="160"/>
      </w:pPr>
      <w:r>
        <w:rPr>
          <w:rFonts w:ascii="Arial" w:cs="Arial" w:eastAsia="Arial" w:hAnsi="Arial"/>
          <w:color w:val="333333"/>
          <w:sz w:val="22"/>
          <w:szCs w:val="22"/>
        </w:rPr>
        <w:t xml:space="preserve">All training completions must be documented and kept on file for at least 6 years.</w:t>
      </w:r>
    </w:p>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9. Reporting a Problem (Whistleblower Protection)</w:t>
      </w:r>
    </w:p>
    <w:p>
      <w:pPr>
        <w:spacing w:after="80" w:before="160"/>
      </w:pPr>
      <w:r>
        <w:rPr>
          <w:rFonts w:ascii="Arial" w:cs="Arial" w:eastAsia="Arial" w:hAnsi="Arial"/>
          <w:color w:val="333333"/>
          <w:sz w:val="22"/>
          <w:szCs w:val="22"/>
        </w:rPr>
        <w:t xml:space="preserve">If you see something that does not look right — a billing error, a practice that seems dishonest, or someone breaking the rules — you must report it. Staying silent is not acceptable.</w:t>
      </w:r>
    </w:p>
    <w:p>
      <w:pPr>
        <w:spacing w:after="80" w:before="160"/>
      </w:pPr>
      <w:r>
        <w:rPr>
          <w:rFonts w:ascii="Arial" w:cs="Arial" w:eastAsia="Arial" w:hAnsi="Arial"/>
          <w:color w:val="333333"/>
          <w:sz w:val="22"/>
          <w:szCs w:val="22"/>
        </w:rPr>
        <w:t xml:space="preserve">You can report concerns to:</w:t>
      </w:r>
    </w:p>
    <w:p>
      <w:pPr>
        <w:pStyle w:val="ListParagraph"/>
        <w:numPr>
          <w:ilvl w:val="0"/>
          <w:numId w:val="2"/>
        </w:numPr>
        <w:spacing w:after="60" w:before="60"/>
      </w:pPr>
      <w:r>
        <w:rPr>
          <w:rFonts w:ascii="Arial" w:cs="Arial" w:eastAsia="Arial" w:hAnsi="Arial"/>
          <w:color w:val="333333"/>
          <w:sz w:val="22"/>
          <w:szCs w:val="22"/>
        </w:rPr>
        <w:t xml:space="preserve">Your direct supervisor</w:t>
      </w:r>
    </w:p>
    <w:p>
      <w:pPr>
        <w:pStyle w:val="ListParagraph"/>
        <w:numPr>
          <w:ilvl w:val="0"/>
          <w:numId w:val="2"/>
        </w:numPr>
        <w:spacing w:after="60" w:before="60"/>
      </w:pPr>
      <w:r>
        <w:rPr>
          <w:rFonts w:ascii="Arial" w:cs="Arial" w:eastAsia="Arial" w:hAnsi="Arial"/>
          <w:color w:val="333333"/>
          <w:sz w:val="22"/>
          <w:szCs w:val="22"/>
        </w:rPr>
        <w:t xml:space="preserve">The Practice Manager or Administrator</w:t>
      </w:r>
    </w:p>
    <w:p>
      <w:pPr>
        <w:pStyle w:val="ListParagraph"/>
        <w:numPr>
          <w:ilvl w:val="0"/>
          <w:numId w:val="2"/>
        </w:numPr>
        <w:spacing w:after="60" w:before="60"/>
      </w:pPr>
      <w:r>
        <w:rPr>
          <w:rFonts w:ascii="Arial" w:cs="Arial" w:eastAsia="Arial" w:hAnsi="Arial"/>
          <w:color w:val="333333"/>
          <w:sz w:val="22"/>
          <w:szCs w:val="22"/>
        </w:rPr>
        <w:t xml:space="preserve">The Compliance Officer</w:t>
      </w:r>
    </w:p>
    <w:p>
      <w:pPr>
        <w:pStyle w:val="ListParagraph"/>
        <w:numPr>
          <w:ilvl w:val="0"/>
          <w:numId w:val="2"/>
        </w:numPr>
        <w:spacing w:after="60" w:before="60"/>
      </w:pPr>
      <w:r>
        <w:rPr>
          <w:rFonts w:ascii="Arial" w:cs="Arial" w:eastAsia="Arial" w:hAnsi="Arial"/>
          <w:color w:val="333333"/>
          <w:sz w:val="22"/>
          <w:szCs w:val="22"/>
        </w:rPr>
        <w:t xml:space="preserve">An anonymous compliance hotline (if your practice has one)</w:t>
      </w:r>
    </w:p>
    <w:p>
      <w:pPr>
        <w:spacing w:after="80" w:before="160"/>
      </w:pPr>
      <w:r>
        <w:rPr>
          <w:rFonts w:ascii="Arial" w:cs="Arial" w:eastAsia="Arial" w:hAnsi="Arial"/>
          <w:color w:val="333333"/>
          <w:sz w:val="22"/>
          <w:szCs w:val="22"/>
        </w:rPr>
        <w:t xml:space="preserve">Federal law protects employees who report compliance concerns in good faith. You cannot be fired, demoted, or punished for reporting something you genuinely believe is wrong. This protection is real and it applies to you.</w:t>
      </w:r>
    </w:p>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10. Consequences of Not Following This Policy</w:t>
      </w:r>
    </w:p>
    <w:p>
      <w:pPr>
        <w:spacing w:after="80" w:before="160"/>
      </w:pPr>
      <w:r>
        <w:rPr>
          <w:rFonts w:ascii="Arial" w:cs="Arial" w:eastAsia="Arial" w:hAnsi="Arial"/>
          <w:color w:val="333333"/>
          <w:sz w:val="22"/>
          <w:szCs w:val="22"/>
        </w:rPr>
        <w:t xml:space="preserve">Breaking billing compliance rules has real consequences — for the practice and for the individual. Here is what can happen: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c>
          <w:tcPr>
            <w:tcW w:type="dxa" w:w="312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Violation Type</w:t>
            </w:r>
          </w:p>
        </w:tc>
        <w:tc>
          <w:tcPr>
            <w:tcW w:type="dxa" w:w="6240"/>
            <w:tcBorders>
              <w:top w:val="single" w:color="1F4E79" w:sz="1"/>
              <w:left w:val="single" w:color="1F4E79" w:sz="1"/>
              <w:bottom w:val="single" w:color="1F4E79" w:sz="1"/>
              <w:right w:val="single" w:color="1F4E79" w:sz="1"/>
            </w:tcBorders>
            <w:shd w:fill="1F4E79" w:val="clear"/>
            <w:tcMar>
              <w:top w:type="dxa" w:w="100"/>
              <w:left w:type="dxa" w:w="150"/>
              <w:bottom w:type="dxa" w:w="100"/>
              <w:right w:type="dxa" w:w="150"/>
            </w:tcMar>
            <w:vAlign w:val="center"/>
          </w:tcPr>
          <w:p>
            <w:pPr>
              <w:jc w:val="left"/>
            </w:pPr>
            <w:r>
              <w:rPr>
                <w:rFonts w:ascii="Arial" w:cs="Arial" w:eastAsia="Arial" w:hAnsi="Arial"/>
                <w:b/>
                <w:bCs/>
                <w:color w:val="FFFFFF"/>
                <w:sz w:val="20"/>
                <w:szCs w:val="20"/>
              </w:rPr>
              <w:t xml:space="preserve">Possible Consequence</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Accidental coding error</w:t>
            </w:r>
          </w:p>
        </w:tc>
        <w:tc>
          <w:tcPr>
            <w:tcW w:type="dxa" w:w="62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Repayment of overpaid amounts, corrective training required</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Repeated errors or carelessness</w:t>
            </w:r>
          </w:p>
        </w:tc>
        <w:tc>
          <w:tcPr>
            <w:tcW w:type="dxa" w:w="62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Written warning, possible termination, reporting to licensing board</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Intentional fraud or false billing</w:t>
            </w:r>
          </w:p>
        </w:tc>
        <w:tc>
          <w:tcPr>
            <w:tcW w:type="dxa" w:w="62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Termination, civil fines up to $11,000+ per claim, criminal charges, imprisonment</w:t>
            </w:r>
          </w:p>
        </w:tc>
      </w:tr>
      <w:tr>
        <w:tc>
          <w:tcPr>
            <w:tcW w:type="dxa" w:w="312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HIPAA breach of patient data</w:t>
            </w:r>
          </w:p>
        </w:tc>
        <w:tc>
          <w:tcPr>
            <w:tcW w:type="dxa" w:w="6240"/>
            <w:tcBorders>
              <w:top w:val="single" w:color="CCCCCC" w:sz="1"/>
              <w:left w:val="single" w:color="CCCCCC" w:sz="1"/>
              <w:bottom w:val="single" w:color="CCCCCC" w:sz="1"/>
              <w:right w:val="single" w:color="CCCCCC" w:sz="1"/>
            </w:tcBorders>
            <w:shd w:fill="FFFFFF" w:val="clear"/>
            <w:tcMar>
              <w:top w:type="dxa" w:w="100"/>
              <w:left w:type="dxa" w:w="150"/>
              <w:bottom w:type="dxa" w:w="100"/>
              <w:right w:type="dxa" w:w="150"/>
            </w:tcMar>
            <w:vAlign w:val="center"/>
          </w:tcPr>
          <w:p>
            <w:pPr>
              <w:jc w:val="left"/>
            </w:pPr>
            <w:r>
              <w:rPr>
                <w:rFonts w:ascii="Arial" w:cs="Arial" w:eastAsia="Arial" w:hAnsi="Arial"/>
                <w:b w:val="false"/>
                <w:bCs w:val="false"/>
                <w:color w:val="000000"/>
                <w:sz w:val="20"/>
                <w:szCs w:val="20"/>
              </w:rPr>
              <w:t xml:space="preserve">Fines from $100 to $50,000 per violation, federal investigation</w:t>
            </w:r>
          </w:p>
        </w:tc>
      </w:tr>
    </w:tbl>
    <w:p>
      <w:pPr>
        <w:pBdr>
          <w:bottom w:val="single" w:color="2E75B6" w:sz="4" w:space="1"/>
        </w:pBdr>
        <w:spacing w:after="200" w:before="200"/>
      </w:pPr>
      <w:r>
        <w:t xml:space="preserve"/>
      </w:r>
    </w:p>
    <w:p>
      <w:pPr>
        <w:pStyle w:val="Heading1"/>
        <w:spacing w:after="150" w:before="300"/>
      </w:pPr>
      <w:r>
        <w:rPr>
          <w:rFonts w:ascii="Arial" w:cs="Arial" w:eastAsia="Arial" w:hAnsi="Arial"/>
          <w:b/>
          <w:bCs/>
          <w:color w:val="1F4E79"/>
          <w:sz w:val="32"/>
          <w:szCs w:val="32"/>
        </w:rPr>
        <w:t xml:space="preserve">11. Policy Approval and Signatures</w:t>
      </w:r>
    </w:p>
    <w:p>
      <w:pPr>
        <w:spacing w:after="80" w:before="160"/>
      </w:pPr>
      <w:r>
        <w:rPr>
          <w:rFonts w:ascii="Arial" w:cs="Arial" w:eastAsia="Arial" w:hAnsi="Arial"/>
          <w:color w:val="333333"/>
          <w:sz w:val="22"/>
          <w:szCs w:val="22"/>
        </w:rPr>
        <w:t xml:space="preserve">This policy has been reviewed and approved by practice leadership. All staff members who are covered by this policy must sign below to confirm they have read and understood it.</w:t>
      </w:r>
    </w:p>
    <w:p>
      <w:pPr>
        <w:spacing w:after="60" w:before="300"/>
      </w:pPr>
      <w:r>
        <w:rPr>
          <w:rFonts w:ascii="Arial" w:cs="Arial" w:eastAsia="Arial" w:hAnsi="Arial"/>
          <w:sz w:val="22"/>
          <w:szCs w:val="22"/>
        </w:rPr>
        <w:t xml:space="preserve">Compliance Officer Signature:  _________________________________     Date: ____________</w:t>
      </w:r>
    </w:p>
    <w:p>
      <w:pPr>
        <w:spacing w:after="60" w:before="200"/>
      </w:pPr>
      <w:r>
        <w:rPr>
          <w:rFonts w:ascii="Arial" w:cs="Arial" w:eastAsia="Arial" w:hAnsi="Arial"/>
          <w:sz w:val="22"/>
          <w:szCs w:val="22"/>
        </w:rPr>
        <w:t xml:space="preserve">Practice Administrator Signature:  _________________________________     Date: ____________</w:t>
      </w:r>
    </w:p>
    <w:p>
      <w:pPr>
        <w:spacing w:after="60" w:before="200"/>
      </w:pPr>
      <w:r>
        <w:rPr>
          <w:rFonts w:ascii="Arial" w:cs="Arial" w:eastAsia="Arial" w:hAnsi="Arial"/>
          <w:sz w:val="22"/>
          <w:szCs w:val="22"/>
        </w:rPr>
        <w:t xml:space="preserve">Printed Name:  _________________________________     Title: ____________________________</w:t>
      </w:r>
    </w:p>
    <w:p>
      <w:pPr>
        <w:pBdr>
          <w:bottom w:val="single" w:color="2E75B6" w:sz="4" w:space="1"/>
        </w:pBdr>
        <w:spacing w:after="200" w:before="200"/>
      </w:pPr>
      <w:r>
        <w:t xml:space="preserve"/>
      </w:r>
    </w:p>
    <w:p>
      <w:pPr>
        <w:spacing w:after="60" w:before="120"/>
        <w:jc w:val="center"/>
      </w:pPr>
      <w:r>
        <w:rPr>
          <w:rFonts w:ascii="Arial" w:cs="Arial" w:eastAsia="Arial" w:hAnsi="Arial"/>
          <w:color w:val="777777"/>
          <w:sz w:val="18"/>
          <w:szCs w:val="18"/>
        </w:rPr>
        <w:t xml:space="preserve">This policy must be reviewed and updated at least once every year. Next scheduled review: [Date]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50" w:before="30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2026-05-26T04:41:58.309Z</dcterms:created>
  <dcterms:modified xsi:type="dcterms:W3CDTF">2026-05-26T04:41:58.309Z</dcterms:modified>
</cp:coreProperties>
</file>

<file path=docProps/custom.xml><?xml version="1.0" encoding="utf-8"?>
<Properties xmlns="http://schemas.openxmlformats.org/officeDocument/2006/custom-properties" xmlns:vt="http://schemas.openxmlformats.org/officeDocument/2006/docPropsVTypes"/>
</file>